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35" w:rsidRDefault="00785CF2">
      <w:pPr>
        <w:ind w:firstLine="643"/>
        <w:rPr>
          <w:rFonts w:ascii="仿宋" w:eastAsia="仿宋" w:hAnsi="仿宋"/>
          <w:szCs w:val="21"/>
        </w:rPr>
      </w:pPr>
      <w:r w:rsidRPr="000C18D9">
        <w:rPr>
          <w:rFonts w:ascii="仿宋" w:eastAsia="仿宋" w:hAnsi="仿宋" w:hint="eastAsia"/>
          <w:sz w:val="24"/>
          <w:szCs w:val="21"/>
        </w:rPr>
        <w:t>附件1：</w:t>
      </w:r>
    </w:p>
    <w:p w:rsidR="00C92935" w:rsidRDefault="00785CF2">
      <w:pPr>
        <w:ind w:firstLine="643"/>
        <w:jc w:val="center"/>
        <w:rPr>
          <w:rFonts w:ascii="黑体" w:eastAsia="黑体" w:hAnsi="黑体"/>
          <w:sz w:val="44"/>
          <w:szCs w:val="44"/>
        </w:rPr>
      </w:pPr>
      <w:r>
        <w:rPr>
          <w:rFonts w:ascii="黑体" w:eastAsia="黑体" w:hAnsi="黑体" w:hint="eastAsia"/>
          <w:sz w:val="44"/>
          <w:szCs w:val="44"/>
        </w:rPr>
        <w:t>昆明学院本科专业评估指标体系</w:t>
      </w:r>
    </w:p>
    <w:tbl>
      <w:tblPr>
        <w:tblW w:w="147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4"/>
        <w:gridCol w:w="1107"/>
        <w:gridCol w:w="1559"/>
        <w:gridCol w:w="3402"/>
        <w:gridCol w:w="3402"/>
        <w:gridCol w:w="2126"/>
        <w:gridCol w:w="1134"/>
        <w:gridCol w:w="1166"/>
      </w:tblGrid>
      <w:tr w:rsidR="00F05AA6" w:rsidTr="009F2F2F">
        <w:trPr>
          <w:trHeight w:val="67"/>
          <w:tblHeader/>
          <w:jc w:val="center"/>
        </w:trPr>
        <w:tc>
          <w:tcPr>
            <w:tcW w:w="8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一级</w:t>
            </w:r>
          </w:p>
          <w:p w:rsidR="00F05AA6" w:rsidRDefault="00F05AA6" w:rsidP="00D732C3">
            <w:pPr>
              <w:spacing w:line="0" w:lineRule="atLeast"/>
              <w:jc w:val="center"/>
              <w:rPr>
                <w:b/>
                <w:color w:val="000000"/>
              </w:rPr>
            </w:pPr>
            <w:r>
              <w:rPr>
                <w:rFonts w:hint="eastAsia"/>
                <w:b/>
                <w:color w:val="000000"/>
              </w:rPr>
              <w:t>指标</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二级</w:t>
            </w:r>
          </w:p>
          <w:p w:rsidR="00F05AA6" w:rsidRDefault="00F05AA6" w:rsidP="00D732C3">
            <w:pPr>
              <w:spacing w:line="0" w:lineRule="atLeast"/>
              <w:jc w:val="center"/>
              <w:rPr>
                <w:b/>
                <w:color w:val="000000"/>
              </w:rPr>
            </w:pPr>
            <w:r>
              <w:rPr>
                <w:rFonts w:hint="eastAsia"/>
                <w:b/>
                <w:color w:val="000000"/>
              </w:rPr>
              <w:t>指标</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主要观测点</w:t>
            </w:r>
          </w:p>
        </w:tc>
        <w:tc>
          <w:tcPr>
            <w:tcW w:w="68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评估标准（等级）</w:t>
            </w:r>
          </w:p>
        </w:tc>
        <w:tc>
          <w:tcPr>
            <w:tcW w:w="2126" w:type="dxa"/>
            <w:vMerge w:val="restart"/>
            <w:tcBorders>
              <w:top w:val="single" w:sz="8" w:space="0" w:color="000000"/>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指标内涵说明</w:t>
            </w:r>
          </w:p>
        </w:tc>
        <w:tc>
          <w:tcPr>
            <w:tcW w:w="1134" w:type="dxa"/>
            <w:vMerge w:val="restart"/>
            <w:tcBorders>
              <w:top w:val="single" w:sz="8" w:space="0" w:color="000000"/>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自评</w:t>
            </w:r>
          </w:p>
          <w:p w:rsidR="00F05AA6" w:rsidRDefault="00F05AA6" w:rsidP="00D732C3">
            <w:pPr>
              <w:spacing w:line="0" w:lineRule="atLeast"/>
              <w:jc w:val="center"/>
              <w:rPr>
                <w:b/>
                <w:color w:val="000000"/>
              </w:rPr>
            </w:pPr>
            <w:r>
              <w:rPr>
                <w:rFonts w:hint="eastAsia"/>
                <w:b/>
                <w:color w:val="000000"/>
              </w:rPr>
              <w:t>等级</w:t>
            </w:r>
          </w:p>
        </w:tc>
        <w:tc>
          <w:tcPr>
            <w:tcW w:w="1166" w:type="dxa"/>
            <w:vMerge w:val="restart"/>
            <w:tcBorders>
              <w:top w:val="single" w:sz="8" w:space="0" w:color="000000"/>
              <w:left w:val="single" w:sz="8" w:space="0" w:color="000000"/>
              <w:right w:val="single" w:sz="8" w:space="0" w:color="000000"/>
            </w:tcBorders>
            <w:shd w:val="clear" w:color="auto" w:fill="FFFFFF"/>
            <w:vAlign w:val="center"/>
          </w:tcPr>
          <w:p w:rsidR="004651F0" w:rsidRDefault="00F05AA6" w:rsidP="004651F0">
            <w:pPr>
              <w:spacing w:line="0" w:lineRule="atLeast"/>
              <w:jc w:val="center"/>
              <w:rPr>
                <w:rFonts w:hint="eastAsia"/>
                <w:b/>
                <w:color w:val="000000"/>
              </w:rPr>
            </w:pPr>
            <w:r>
              <w:rPr>
                <w:rFonts w:hint="eastAsia"/>
                <w:b/>
                <w:color w:val="000000"/>
              </w:rPr>
              <w:t>专家</w:t>
            </w:r>
            <w:r w:rsidR="009F2F2F">
              <w:rPr>
                <w:rFonts w:hint="eastAsia"/>
                <w:b/>
                <w:color w:val="000000"/>
              </w:rPr>
              <w:t>评审</w:t>
            </w:r>
          </w:p>
          <w:p w:rsidR="00F05AA6" w:rsidRDefault="00F05AA6" w:rsidP="004651F0">
            <w:pPr>
              <w:spacing w:line="0" w:lineRule="atLeast"/>
              <w:jc w:val="center"/>
              <w:rPr>
                <w:b/>
                <w:color w:val="000000"/>
              </w:rPr>
            </w:pPr>
            <w:r>
              <w:rPr>
                <w:rFonts w:hint="eastAsia"/>
                <w:b/>
                <w:color w:val="000000"/>
              </w:rPr>
              <w:t>等级</w:t>
            </w:r>
          </w:p>
        </w:tc>
      </w:tr>
      <w:tr w:rsidR="00F05AA6" w:rsidTr="009F2F2F">
        <w:trPr>
          <w:trHeight w:val="67"/>
          <w:tblHeader/>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A</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C</w:t>
            </w:r>
          </w:p>
        </w:tc>
        <w:tc>
          <w:tcPr>
            <w:tcW w:w="2126" w:type="dxa"/>
            <w:vMerge/>
            <w:tcBorders>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p>
        </w:tc>
        <w:tc>
          <w:tcPr>
            <w:tcW w:w="1134" w:type="dxa"/>
            <w:vMerge/>
            <w:tcBorders>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p>
        </w:tc>
        <w:tc>
          <w:tcPr>
            <w:tcW w:w="1166" w:type="dxa"/>
            <w:vMerge/>
            <w:tcBorders>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p>
        </w:tc>
      </w:tr>
      <w:tr w:rsidR="00F05AA6" w:rsidTr="009F2F2F">
        <w:trPr>
          <w:trHeight w:val="67"/>
          <w:jc w:val="center"/>
        </w:trPr>
        <w:tc>
          <w:tcPr>
            <w:tcW w:w="8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b/>
                <w:color w:val="000000"/>
                <w:szCs w:val="21"/>
              </w:rPr>
            </w:pPr>
            <w:r>
              <w:rPr>
                <w:rFonts w:ascii="宋体" w:hAnsi="宋体" w:hint="eastAsia"/>
                <w:b/>
                <w:color w:val="000000"/>
                <w:szCs w:val="21"/>
              </w:rPr>
              <w:t>1.</w:t>
            </w:r>
          </w:p>
          <w:p w:rsidR="00F05AA6" w:rsidRDefault="00F05AA6" w:rsidP="00D732C3">
            <w:pPr>
              <w:spacing w:line="0" w:lineRule="atLeast"/>
              <w:jc w:val="center"/>
              <w:rPr>
                <w:rFonts w:ascii="宋体" w:hAnsi="宋体"/>
                <w:b/>
                <w:color w:val="000000"/>
                <w:szCs w:val="21"/>
              </w:rPr>
            </w:pPr>
            <w:r>
              <w:rPr>
                <w:rFonts w:ascii="宋体" w:hAnsi="宋体" w:hint="eastAsia"/>
                <w:b/>
                <w:color w:val="000000"/>
                <w:szCs w:val="21"/>
              </w:rPr>
              <w:t>专业</w:t>
            </w:r>
          </w:p>
          <w:p w:rsidR="00F05AA6" w:rsidRDefault="00F05AA6" w:rsidP="00D732C3">
            <w:pPr>
              <w:spacing w:line="0" w:lineRule="atLeast"/>
              <w:jc w:val="center"/>
              <w:rPr>
                <w:color w:val="000000"/>
                <w:szCs w:val="21"/>
              </w:rPr>
            </w:pPr>
            <w:r>
              <w:rPr>
                <w:rFonts w:ascii="宋体" w:hAnsi="宋体" w:hint="eastAsia"/>
                <w:b/>
                <w:color w:val="000000"/>
                <w:szCs w:val="21"/>
              </w:rPr>
              <w:t>规划</w:t>
            </w:r>
          </w:p>
        </w:tc>
        <w:tc>
          <w:tcPr>
            <w:tcW w:w="11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1.1</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专业</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定位</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专业定位及</w:t>
            </w:r>
          </w:p>
          <w:p w:rsidR="00F05AA6" w:rsidRDefault="00F05AA6" w:rsidP="00D732C3">
            <w:pPr>
              <w:spacing w:line="0" w:lineRule="atLeast"/>
              <w:jc w:val="center"/>
              <w:rPr>
                <w:color w:val="000000"/>
                <w:szCs w:val="21"/>
              </w:rPr>
            </w:pPr>
            <w:r>
              <w:rPr>
                <w:rFonts w:hint="eastAsia"/>
                <w:color w:val="000000"/>
                <w:szCs w:val="21"/>
              </w:rPr>
              <w:t>专业培养目标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专业定位科学合理，培养目标明确，市场契合度高，适应区域经济社会和行业发展需求，符合学校发展定位</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专业定位明确，培养目标基本符合市场和行业产业需求，基本符合学校发展定位</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“专业定位”包括培养目标、办学水平、服务面向、发展规模等方面的定位。</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1.2</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专业</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规划</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专业建设思路</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凸显专业的办学优势和发展定位；建设思路清晰，分项目标和阶段目标明确、具体、可行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体现专业发展定位；建设思路基本准确，有分项目标和阶段目标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专业发展规划</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有科学、合理、切实可行的专业发展规划；专业建设目标明确，措施得力，成效显著，并在实施中不断优化</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有专业发展规划和建设目标，有措施，取得一定成效</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823"/>
          <w:jc w:val="center"/>
        </w:trPr>
        <w:tc>
          <w:tcPr>
            <w:tcW w:w="8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b/>
                <w:color w:val="000000"/>
                <w:sz w:val="24"/>
              </w:rPr>
            </w:pPr>
            <w:r>
              <w:rPr>
                <w:rFonts w:ascii="宋体" w:hAnsi="宋体" w:hint="eastAsia"/>
                <w:b/>
                <w:color w:val="000000"/>
                <w:sz w:val="24"/>
              </w:rPr>
              <w:t>2.</w:t>
            </w:r>
          </w:p>
          <w:p w:rsidR="00F05AA6" w:rsidRDefault="00F05AA6" w:rsidP="00D732C3">
            <w:pPr>
              <w:spacing w:line="0" w:lineRule="atLeast"/>
              <w:jc w:val="center"/>
              <w:rPr>
                <w:b/>
                <w:bCs/>
                <w:color w:val="000000"/>
              </w:rPr>
            </w:pPr>
            <w:r>
              <w:rPr>
                <w:rFonts w:hint="eastAsia"/>
                <w:b/>
                <w:bCs/>
                <w:color w:val="000000"/>
              </w:rPr>
              <w:t>师资</w:t>
            </w:r>
          </w:p>
          <w:p w:rsidR="00F05AA6" w:rsidRDefault="00F05AA6" w:rsidP="00D732C3">
            <w:pPr>
              <w:spacing w:line="0" w:lineRule="atLeast"/>
              <w:jc w:val="center"/>
              <w:rPr>
                <w:color w:val="000000"/>
              </w:rPr>
            </w:pPr>
            <w:r>
              <w:rPr>
                <w:rFonts w:hint="eastAsia"/>
                <w:b/>
                <w:bCs/>
                <w:color w:val="000000"/>
              </w:rPr>
              <w:t>队伍</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2.1</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师资</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结构</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数量与结构</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教师数量充足，生师比合理，满足人才培养需要，师资队伍职称、年龄、专业、学缘、学历等整体结构合理，有良好发展趋势；高级职称比例达到</w:t>
            </w:r>
            <w:r w:rsidRPr="00D732C3">
              <w:rPr>
                <w:rFonts w:hint="eastAsia"/>
                <w:color w:val="000000"/>
                <w:sz w:val="18"/>
                <w:szCs w:val="18"/>
              </w:rPr>
              <w:t>45%</w:t>
            </w:r>
            <w:r w:rsidRPr="00D732C3">
              <w:rPr>
                <w:rFonts w:hint="eastAsia"/>
                <w:color w:val="000000"/>
                <w:sz w:val="18"/>
                <w:szCs w:val="18"/>
              </w:rPr>
              <w:t>；中青年教师（≤</w:t>
            </w:r>
            <w:r w:rsidRPr="00D732C3">
              <w:rPr>
                <w:rFonts w:hint="eastAsia"/>
                <w:color w:val="000000"/>
                <w:sz w:val="18"/>
                <w:szCs w:val="18"/>
              </w:rPr>
              <w:t>45</w:t>
            </w:r>
            <w:r w:rsidRPr="00D732C3">
              <w:rPr>
                <w:rFonts w:hint="eastAsia"/>
                <w:color w:val="000000"/>
                <w:sz w:val="18"/>
                <w:szCs w:val="18"/>
              </w:rPr>
              <w:t>岁）中硕士、博士≥</w:t>
            </w:r>
            <w:r w:rsidRPr="00D732C3">
              <w:rPr>
                <w:rFonts w:hint="eastAsia"/>
                <w:color w:val="000000"/>
                <w:sz w:val="18"/>
                <w:szCs w:val="18"/>
              </w:rPr>
              <w:t>95%</w:t>
            </w:r>
            <w:r w:rsidRPr="00D732C3">
              <w:rPr>
                <w:rFonts w:hint="eastAsia"/>
                <w:color w:val="000000"/>
                <w:sz w:val="18"/>
                <w:szCs w:val="18"/>
              </w:rPr>
              <w:t>，其中博士≥</w:t>
            </w:r>
            <w:r w:rsidRPr="00D732C3">
              <w:rPr>
                <w:rFonts w:hint="eastAsia"/>
                <w:color w:val="000000"/>
                <w:sz w:val="18"/>
                <w:szCs w:val="18"/>
              </w:rPr>
              <w:t>30%</w:t>
            </w:r>
            <w:r w:rsidRPr="00D732C3">
              <w:rPr>
                <w:rFonts w:hint="eastAsia"/>
                <w:color w:val="000000"/>
                <w:sz w:val="18"/>
                <w:szCs w:val="18"/>
              </w:rPr>
              <w:t>，</w:t>
            </w:r>
            <w:r w:rsidRPr="00D732C3">
              <w:rPr>
                <w:rFonts w:hint="eastAsia"/>
                <w:color w:val="000000" w:themeColor="text1"/>
                <w:sz w:val="18"/>
                <w:szCs w:val="18"/>
              </w:rPr>
              <w:t>双师型教师≥</w:t>
            </w:r>
            <w:r w:rsidRPr="00D732C3">
              <w:rPr>
                <w:rFonts w:hint="eastAsia"/>
                <w:color w:val="000000" w:themeColor="text1"/>
                <w:sz w:val="18"/>
                <w:szCs w:val="18"/>
              </w:rPr>
              <w:t>20%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教师数量适宜，基本满足人才培养需要；结构基本合理。高级职称比例达到</w:t>
            </w:r>
            <w:r w:rsidRPr="00D732C3">
              <w:rPr>
                <w:rFonts w:hint="eastAsia"/>
                <w:color w:val="000000"/>
                <w:sz w:val="18"/>
                <w:szCs w:val="18"/>
              </w:rPr>
              <w:t>30%</w:t>
            </w:r>
            <w:r w:rsidRPr="00D732C3">
              <w:rPr>
                <w:rFonts w:hint="eastAsia"/>
                <w:color w:val="000000"/>
                <w:sz w:val="18"/>
                <w:szCs w:val="18"/>
              </w:rPr>
              <w:t>；中青年教师（≤</w:t>
            </w:r>
            <w:r w:rsidRPr="00D732C3">
              <w:rPr>
                <w:rFonts w:hint="eastAsia"/>
                <w:color w:val="000000"/>
                <w:sz w:val="18"/>
                <w:szCs w:val="18"/>
              </w:rPr>
              <w:t>45</w:t>
            </w:r>
            <w:r w:rsidRPr="00D732C3">
              <w:rPr>
                <w:rFonts w:hint="eastAsia"/>
                <w:color w:val="000000"/>
                <w:sz w:val="18"/>
                <w:szCs w:val="18"/>
              </w:rPr>
              <w:t>岁）中具有硕士、博士≥</w:t>
            </w:r>
            <w:r w:rsidRPr="00D732C3">
              <w:rPr>
                <w:rFonts w:hint="eastAsia"/>
                <w:color w:val="000000"/>
                <w:sz w:val="18"/>
                <w:szCs w:val="18"/>
              </w:rPr>
              <w:t>70%</w:t>
            </w:r>
            <w:r w:rsidRPr="00D732C3">
              <w:rPr>
                <w:rFonts w:hint="eastAsia"/>
                <w:color w:val="000000"/>
                <w:sz w:val="18"/>
                <w:szCs w:val="18"/>
              </w:rPr>
              <w:t>，其中博士≥</w:t>
            </w:r>
            <w:r w:rsidRPr="00D732C3">
              <w:rPr>
                <w:rFonts w:hint="eastAsia"/>
                <w:color w:val="000000"/>
                <w:sz w:val="18"/>
                <w:szCs w:val="18"/>
              </w:rPr>
              <w:t>15%</w:t>
            </w:r>
            <w:r w:rsidRPr="00D732C3">
              <w:rPr>
                <w:rFonts w:hint="eastAsia"/>
                <w:color w:val="000000"/>
                <w:sz w:val="18"/>
                <w:szCs w:val="18"/>
              </w:rPr>
              <w:t>，</w:t>
            </w:r>
            <w:r w:rsidRPr="00D732C3">
              <w:rPr>
                <w:rFonts w:hint="eastAsia"/>
                <w:color w:val="000000" w:themeColor="text1"/>
                <w:sz w:val="18"/>
                <w:szCs w:val="18"/>
              </w:rPr>
              <w:t>双师型教师≥</w:t>
            </w:r>
            <w:r w:rsidRPr="00D732C3">
              <w:rPr>
                <w:rFonts w:hint="eastAsia"/>
                <w:color w:val="000000" w:themeColor="text1"/>
                <w:sz w:val="18"/>
                <w:szCs w:val="18"/>
              </w:rPr>
              <w:t>15%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教师数量及结构统计口径包含专任教师、兼职教师、外聘教师</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专业带头人</w:t>
            </w:r>
          </w:p>
          <w:p w:rsidR="00F05AA6" w:rsidRDefault="00F05AA6" w:rsidP="00D732C3">
            <w:pPr>
              <w:spacing w:line="0" w:lineRule="atLeast"/>
              <w:jc w:val="center"/>
              <w:rPr>
                <w:color w:val="000000"/>
                <w:szCs w:val="21"/>
              </w:rPr>
            </w:pPr>
            <w:r>
              <w:rPr>
                <w:rFonts w:hint="eastAsia"/>
                <w:color w:val="000000"/>
                <w:szCs w:val="21"/>
              </w:rPr>
              <w:t>及教学团队</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专业带头人教学水平高、学术造诣深；有省级以上教学团队</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专业带头人由高级职称教师或具有博士学位的教师担任</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316"/>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2.2</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主讲</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教师</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及</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授课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主讲教师</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主讲教师具有中级及以上职称或硕士及以上学位，</w:t>
            </w:r>
            <w:r w:rsidRPr="00D732C3">
              <w:rPr>
                <w:rFonts w:hint="eastAsia"/>
                <w:color w:val="000000"/>
                <w:sz w:val="18"/>
                <w:szCs w:val="18"/>
              </w:rPr>
              <w:t>100%</w:t>
            </w:r>
            <w:r w:rsidRPr="00D732C3">
              <w:rPr>
                <w:rFonts w:hint="eastAsia"/>
                <w:color w:val="000000"/>
                <w:sz w:val="18"/>
                <w:szCs w:val="18"/>
              </w:rPr>
              <w:t>获得高校教师资格证（含实验教学）</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主讲教师具有中级及以上职称或硕士及以上学位，</w:t>
            </w:r>
            <w:r w:rsidRPr="00D732C3">
              <w:rPr>
                <w:rFonts w:hint="eastAsia"/>
                <w:color w:val="000000"/>
                <w:sz w:val="18"/>
                <w:szCs w:val="18"/>
              </w:rPr>
              <w:t>90%</w:t>
            </w:r>
            <w:r w:rsidRPr="00D732C3">
              <w:rPr>
                <w:rFonts w:hint="eastAsia"/>
                <w:color w:val="000000"/>
                <w:sz w:val="18"/>
                <w:szCs w:val="18"/>
              </w:rPr>
              <w:t>获得高校教师资格证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“主讲教师”指每学年主讲本专业的专业课（必修和选修）的教师（含外聘教师），不含实践指导教师。</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r>
      <w:tr w:rsidR="00F05AA6" w:rsidTr="009F2F2F">
        <w:trPr>
          <w:trHeight w:val="262"/>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高级职称</w:t>
            </w:r>
          </w:p>
          <w:p w:rsidR="00F05AA6" w:rsidRDefault="00F05AA6" w:rsidP="00D732C3">
            <w:pPr>
              <w:spacing w:line="0" w:lineRule="atLeast"/>
              <w:jc w:val="center"/>
              <w:rPr>
                <w:color w:val="000000"/>
                <w:szCs w:val="21"/>
              </w:rPr>
            </w:pPr>
            <w:r>
              <w:rPr>
                <w:rFonts w:hint="eastAsia"/>
                <w:color w:val="000000"/>
                <w:szCs w:val="21"/>
              </w:rPr>
              <w:t>教师授课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教授、副教授每学年为本专业本科生授课率达</w:t>
            </w:r>
            <w:r w:rsidRPr="00D732C3">
              <w:rPr>
                <w:rFonts w:hint="eastAsia"/>
                <w:color w:val="000000"/>
                <w:sz w:val="18"/>
                <w:szCs w:val="18"/>
              </w:rPr>
              <w:t>95%</w:t>
            </w:r>
            <w:r w:rsidRPr="00D732C3">
              <w:rPr>
                <w:rFonts w:hint="eastAsia"/>
                <w:color w:val="000000"/>
                <w:sz w:val="18"/>
                <w:szCs w:val="18"/>
              </w:rPr>
              <w:t>；整体教学水平高</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教授、副教授每学年为本专业本科生授课率达</w:t>
            </w:r>
            <w:r w:rsidRPr="00D732C3">
              <w:rPr>
                <w:rFonts w:hint="eastAsia"/>
                <w:color w:val="000000"/>
                <w:sz w:val="18"/>
                <w:szCs w:val="18"/>
              </w:rPr>
              <w:t>75%</w:t>
            </w:r>
            <w:r w:rsidRPr="00D732C3">
              <w:rPr>
                <w:rFonts w:hint="eastAsia"/>
                <w:color w:val="000000"/>
                <w:sz w:val="18"/>
                <w:szCs w:val="18"/>
              </w:rPr>
              <w:t>；教学质量能得到保证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128"/>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2.3</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教师</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发展</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师资培养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有符合专业建设需要的师资建设规划、培养计划和实施方案，措施得力，效果明显；近三年本专业教师职称、学位有明显提升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有师资培养计划和实施方案，效果较为明显；近三年专业教师职称、学位有所提升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554"/>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教师交流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本专业教师参加国内外大型学术交流（有交流论文）≥</w:t>
            </w:r>
            <w:r w:rsidRPr="00D732C3">
              <w:rPr>
                <w:rFonts w:hint="eastAsia"/>
                <w:color w:val="000000"/>
                <w:sz w:val="18"/>
                <w:szCs w:val="18"/>
              </w:rPr>
              <w:t>3</w:t>
            </w:r>
            <w:r w:rsidRPr="00D732C3">
              <w:rPr>
                <w:rFonts w:hint="eastAsia"/>
                <w:color w:val="000000"/>
                <w:sz w:val="18"/>
                <w:szCs w:val="18"/>
              </w:rPr>
              <w:t>人次</w:t>
            </w:r>
            <w:r w:rsidRPr="00D732C3">
              <w:rPr>
                <w:rFonts w:hint="eastAsia"/>
                <w:color w:val="000000"/>
                <w:sz w:val="18"/>
                <w:szCs w:val="18"/>
              </w:rPr>
              <w:t>/</w:t>
            </w:r>
            <w:r w:rsidRPr="00D732C3">
              <w:rPr>
                <w:rFonts w:hint="eastAsia"/>
                <w:color w:val="000000"/>
                <w:sz w:val="18"/>
                <w:szCs w:val="18"/>
              </w:rPr>
              <w:t>年；高级职称教师为学生做学术报告≥</w:t>
            </w:r>
            <w:r w:rsidRPr="00D732C3">
              <w:rPr>
                <w:rFonts w:hint="eastAsia"/>
                <w:color w:val="000000"/>
                <w:sz w:val="18"/>
                <w:szCs w:val="18"/>
              </w:rPr>
              <w:t>3</w:t>
            </w:r>
            <w:r w:rsidRPr="00D732C3">
              <w:rPr>
                <w:rFonts w:hint="eastAsia"/>
                <w:color w:val="000000"/>
                <w:sz w:val="18"/>
                <w:szCs w:val="18"/>
              </w:rPr>
              <w:t>人次</w:t>
            </w:r>
            <w:r w:rsidRPr="00D732C3">
              <w:rPr>
                <w:rFonts w:hint="eastAsia"/>
                <w:color w:val="000000"/>
                <w:sz w:val="18"/>
                <w:szCs w:val="18"/>
              </w:rPr>
              <w:t>/</w:t>
            </w:r>
            <w:r w:rsidRPr="00D732C3">
              <w:rPr>
                <w:rFonts w:hint="eastAsia"/>
                <w:color w:val="000000"/>
                <w:sz w:val="18"/>
                <w:szCs w:val="18"/>
              </w:rPr>
              <w:t>年；专业教学研讨活动≥</w:t>
            </w:r>
            <w:r w:rsidRPr="00D732C3">
              <w:rPr>
                <w:rFonts w:hint="eastAsia"/>
                <w:color w:val="000000"/>
                <w:sz w:val="18"/>
                <w:szCs w:val="18"/>
              </w:rPr>
              <w:t>1</w:t>
            </w:r>
            <w:r w:rsidRPr="00D732C3">
              <w:rPr>
                <w:rFonts w:hint="eastAsia"/>
                <w:color w:val="000000"/>
                <w:sz w:val="18"/>
                <w:szCs w:val="18"/>
              </w:rPr>
              <w:t>次</w:t>
            </w:r>
            <w:r w:rsidRPr="00D732C3">
              <w:rPr>
                <w:rFonts w:hint="eastAsia"/>
                <w:color w:val="000000"/>
                <w:sz w:val="18"/>
                <w:szCs w:val="18"/>
              </w:rPr>
              <w:t>/</w:t>
            </w:r>
            <w:r w:rsidRPr="00D732C3">
              <w:rPr>
                <w:rFonts w:hint="eastAsia"/>
                <w:color w:val="000000"/>
                <w:sz w:val="18"/>
                <w:szCs w:val="18"/>
              </w:rPr>
              <w:t>月，效果好，并有详细记录</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每年均有教师参加校外学术（含教研）交流活动；专业教学研讨活动≥</w:t>
            </w:r>
            <w:r w:rsidRPr="00D732C3">
              <w:rPr>
                <w:rFonts w:hint="eastAsia"/>
                <w:color w:val="000000"/>
                <w:sz w:val="18"/>
                <w:szCs w:val="18"/>
              </w:rPr>
              <w:t>1</w:t>
            </w:r>
            <w:r w:rsidRPr="00D732C3">
              <w:rPr>
                <w:rFonts w:hint="eastAsia"/>
                <w:color w:val="000000"/>
                <w:sz w:val="18"/>
                <w:szCs w:val="18"/>
              </w:rPr>
              <w:t>次</w:t>
            </w:r>
            <w:r w:rsidRPr="00D732C3">
              <w:rPr>
                <w:rFonts w:hint="eastAsia"/>
                <w:color w:val="000000"/>
                <w:sz w:val="18"/>
                <w:szCs w:val="18"/>
              </w:rPr>
              <w:t>/</w:t>
            </w:r>
            <w:r w:rsidRPr="00D732C3">
              <w:rPr>
                <w:rFonts w:hint="eastAsia"/>
                <w:color w:val="000000"/>
                <w:sz w:val="18"/>
                <w:szCs w:val="18"/>
              </w:rPr>
              <w:t>学期，并有活动记录</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1121"/>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2.4</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教学</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和</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科研</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水平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科研情况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省部级及以上科研项目（或相当于省部级及以上横向科技协作项目）≥</w:t>
            </w:r>
            <w:r w:rsidRPr="00D732C3">
              <w:rPr>
                <w:rFonts w:hint="eastAsia"/>
                <w:color w:val="000000"/>
                <w:sz w:val="18"/>
                <w:szCs w:val="18"/>
              </w:rPr>
              <w:t>10</w:t>
            </w:r>
            <w:r w:rsidRPr="00D732C3">
              <w:rPr>
                <w:rFonts w:hint="eastAsia"/>
                <w:color w:val="000000"/>
                <w:sz w:val="18"/>
                <w:szCs w:val="18"/>
              </w:rPr>
              <w:t>项以上，成效明显；公开发表科研论文≥</w:t>
            </w:r>
            <w:r w:rsidRPr="00D732C3">
              <w:rPr>
                <w:rFonts w:hint="eastAsia"/>
                <w:color w:val="000000"/>
                <w:sz w:val="18"/>
                <w:szCs w:val="18"/>
              </w:rPr>
              <w:t>20</w:t>
            </w:r>
            <w:r w:rsidRPr="00D732C3">
              <w:rPr>
                <w:rFonts w:hint="eastAsia"/>
                <w:color w:val="000000"/>
                <w:sz w:val="18"/>
                <w:szCs w:val="18"/>
              </w:rPr>
              <w:t>篇</w:t>
            </w:r>
            <w:r w:rsidRPr="00D732C3">
              <w:rPr>
                <w:rFonts w:hint="eastAsia"/>
                <w:color w:val="000000"/>
                <w:sz w:val="18"/>
                <w:szCs w:val="18"/>
              </w:rPr>
              <w:t>/</w:t>
            </w:r>
            <w:r w:rsidRPr="00D732C3">
              <w:rPr>
                <w:rFonts w:hint="eastAsia"/>
                <w:color w:val="000000"/>
                <w:sz w:val="18"/>
                <w:szCs w:val="18"/>
              </w:rPr>
              <w:t>年；教师参加科研项目的人数≥</w:t>
            </w:r>
            <w:r w:rsidRPr="00D732C3">
              <w:rPr>
                <w:rFonts w:hint="eastAsia"/>
                <w:color w:val="000000"/>
                <w:sz w:val="18"/>
                <w:szCs w:val="18"/>
              </w:rPr>
              <w:t>80%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有省部级及以上科研项目（或相当于省部级及以上横向科技协作项目）≥</w:t>
            </w:r>
            <w:r w:rsidRPr="00D732C3">
              <w:rPr>
                <w:rFonts w:hint="eastAsia"/>
                <w:color w:val="000000"/>
                <w:sz w:val="18"/>
                <w:szCs w:val="18"/>
              </w:rPr>
              <w:t>2</w:t>
            </w:r>
            <w:r w:rsidRPr="00D732C3">
              <w:rPr>
                <w:rFonts w:hint="eastAsia"/>
                <w:color w:val="000000"/>
                <w:sz w:val="18"/>
                <w:szCs w:val="18"/>
              </w:rPr>
              <w:t>项，有成效；公开发表科研论文≥</w:t>
            </w:r>
            <w:r w:rsidRPr="00D732C3">
              <w:rPr>
                <w:rFonts w:hint="eastAsia"/>
                <w:color w:val="000000"/>
                <w:sz w:val="18"/>
                <w:szCs w:val="18"/>
              </w:rPr>
              <w:t>10</w:t>
            </w:r>
            <w:r w:rsidRPr="00D732C3">
              <w:rPr>
                <w:rFonts w:hint="eastAsia"/>
                <w:color w:val="000000"/>
                <w:sz w:val="18"/>
                <w:szCs w:val="18"/>
              </w:rPr>
              <w:t>篇</w:t>
            </w:r>
            <w:r w:rsidRPr="00D732C3">
              <w:rPr>
                <w:rFonts w:hint="eastAsia"/>
                <w:color w:val="000000"/>
                <w:sz w:val="18"/>
                <w:szCs w:val="18"/>
              </w:rPr>
              <w:t>/</w:t>
            </w:r>
            <w:r w:rsidRPr="00D732C3">
              <w:rPr>
                <w:rFonts w:hint="eastAsia"/>
                <w:color w:val="000000"/>
                <w:sz w:val="18"/>
                <w:szCs w:val="18"/>
              </w:rPr>
              <w:t>年；</w:t>
            </w:r>
            <w:bookmarkStart w:id="0" w:name="OLE_LINK1"/>
            <w:r w:rsidRPr="00D732C3">
              <w:rPr>
                <w:rFonts w:hint="eastAsia"/>
                <w:color w:val="000000"/>
                <w:sz w:val="18"/>
                <w:szCs w:val="18"/>
              </w:rPr>
              <w:t>教师参加科研项目的人数≥</w:t>
            </w:r>
            <w:r w:rsidRPr="00D732C3">
              <w:rPr>
                <w:rFonts w:hint="eastAsia"/>
                <w:color w:val="000000"/>
                <w:sz w:val="18"/>
                <w:szCs w:val="18"/>
              </w:rPr>
              <w:t>50%</w:t>
            </w:r>
            <w:bookmarkEnd w:id="0"/>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1304"/>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教学研究情况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有省级以上教学改革研究项目≥</w:t>
            </w:r>
            <w:r w:rsidRPr="00D732C3">
              <w:rPr>
                <w:rFonts w:hint="eastAsia"/>
                <w:color w:val="000000"/>
                <w:sz w:val="18"/>
                <w:szCs w:val="18"/>
              </w:rPr>
              <w:t>1</w:t>
            </w:r>
            <w:r w:rsidRPr="00D732C3">
              <w:rPr>
                <w:rFonts w:hint="eastAsia"/>
                <w:color w:val="000000"/>
                <w:sz w:val="18"/>
                <w:szCs w:val="18"/>
              </w:rPr>
              <w:t>项，成效明显；有鼓励教学改革和研究的政策和措施且落实执行；有省级及以上教学改革成果奖≥</w:t>
            </w:r>
            <w:r w:rsidRPr="00D732C3">
              <w:rPr>
                <w:rFonts w:hint="eastAsia"/>
                <w:color w:val="000000"/>
                <w:sz w:val="18"/>
                <w:szCs w:val="18"/>
              </w:rPr>
              <w:t>1</w:t>
            </w:r>
            <w:r w:rsidRPr="00D732C3">
              <w:rPr>
                <w:rFonts w:hint="eastAsia"/>
                <w:color w:val="000000"/>
                <w:sz w:val="18"/>
                <w:szCs w:val="18"/>
              </w:rPr>
              <w:t>项。公开发表教研论文≥</w:t>
            </w:r>
            <w:r w:rsidRPr="00D732C3">
              <w:rPr>
                <w:rFonts w:hint="eastAsia"/>
                <w:color w:val="000000"/>
                <w:sz w:val="18"/>
                <w:szCs w:val="18"/>
              </w:rPr>
              <w:t>5</w:t>
            </w:r>
            <w:r w:rsidRPr="00D732C3">
              <w:rPr>
                <w:rFonts w:hint="eastAsia"/>
                <w:color w:val="000000"/>
                <w:sz w:val="18"/>
                <w:szCs w:val="18"/>
              </w:rPr>
              <w:t>篇</w:t>
            </w:r>
            <w:r w:rsidRPr="00D732C3">
              <w:rPr>
                <w:rFonts w:hint="eastAsia"/>
                <w:color w:val="000000"/>
                <w:sz w:val="18"/>
                <w:szCs w:val="18"/>
              </w:rPr>
              <w:t>/</w:t>
            </w:r>
            <w:r w:rsidRPr="00D732C3">
              <w:rPr>
                <w:rFonts w:hint="eastAsia"/>
                <w:color w:val="000000"/>
                <w:sz w:val="18"/>
                <w:szCs w:val="18"/>
              </w:rPr>
              <w:t>年；教师参加教研项目的人数≥</w:t>
            </w:r>
            <w:r w:rsidRPr="00D732C3">
              <w:rPr>
                <w:rFonts w:hint="eastAsia"/>
                <w:color w:val="000000"/>
                <w:sz w:val="18"/>
                <w:szCs w:val="18"/>
              </w:rPr>
              <w:t>80%</w:t>
            </w:r>
            <w:r w:rsidRPr="00D732C3">
              <w:rPr>
                <w:rFonts w:hint="eastAsia"/>
                <w:color w:val="000000"/>
                <w:sz w:val="18"/>
                <w:szCs w:val="18"/>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有校级及以上教学改革研究项目≥</w:t>
            </w:r>
            <w:r w:rsidRPr="00D732C3">
              <w:rPr>
                <w:rFonts w:hint="eastAsia"/>
                <w:color w:val="000000"/>
                <w:sz w:val="18"/>
                <w:szCs w:val="18"/>
              </w:rPr>
              <w:t>1</w:t>
            </w:r>
            <w:r w:rsidRPr="00D732C3">
              <w:rPr>
                <w:rFonts w:hint="eastAsia"/>
                <w:color w:val="000000"/>
                <w:sz w:val="18"/>
                <w:szCs w:val="18"/>
              </w:rPr>
              <w:t>项；积极开展教学研究，公开发表教研论文≥</w:t>
            </w:r>
            <w:r w:rsidRPr="00D732C3">
              <w:rPr>
                <w:rFonts w:hint="eastAsia"/>
                <w:color w:val="000000"/>
                <w:sz w:val="18"/>
                <w:szCs w:val="18"/>
              </w:rPr>
              <w:t>2</w:t>
            </w:r>
            <w:r w:rsidRPr="00D732C3">
              <w:rPr>
                <w:rFonts w:hint="eastAsia"/>
                <w:color w:val="000000"/>
                <w:sz w:val="18"/>
                <w:szCs w:val="18"/>
              </w:rPr>
              <w:t>篇</w:t>
            </w:r>
            <w:r w:rsidRPr="00D732C3">
              <w:rPr>
                <w:rFonts w:hint="eastAsia"/>
                <w:color w:val="000000"/>
                <w:sz w:val="18"/>
                <w:szCs w:val="18"/>
              </w:rPr>
              <w:t>/</w:t>
            </w:r>
            <w:r w:rsidRPr="00D732C3">
              <w:rPr>
                <w:rFonts w:hint="eastAsia"/>
                <w:color w:val="000000"/>
                <w:sz w:val="18"/>
                <w:szCs w:val="18"/>
              </w:rPr>
              <w:t>年；教师参加教研项目的人数≥</w:t>
            </w:r>
            <w:r w:rsidRPr="00D732C3">
              <w:rPr>
                <w:rFonts w:hint="eastAsia"/>
                <w:color w:val="000000"/>
                <w:sz w:val="18"/>
                <w:szCs w:val="18"/>
              </w:rPr>
              <w:t>50%</w:t>
            </w:r>
            <w:r w:rsidRPr="00D732C3">
              <w:rPr>
                <w:rFonts w:hint="eastAsia"/>
                <w:color w:val="000000"/>
                <w:sz w:val="18"/>
                <w:szCs w:val="18"/>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83"/>
          <w:jc w:val="center"/>
        </w:trPr>
        <w:tc>
          <w:tcPr>
            <w:tcW w:w="844"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学生评教情况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学生参评率≥</w:t>
            </w:r>
            <w:r w:rsidRPr="00D732C3">
              <w:rPr>
                <w:rFonts w:hint="eastAsia"/>
                <w:color w:val="000000"/>
                <w:sz w:val="18"/>
                <w:szCs w:val="18"/>
              </w:rPr>
              <w:t>95%</w:t>
            </w:r>
            <w:r w:rsidRPr="00D732C3">
              <w:rPr>
                <w:rFonts w:hint="eastAsia"/>
                <w:color w:val="000000"/>
                <w:sz w:val="18"/>
                <w:szCs w:val="18"/>
              </w:rPr>
              <w:t>，满意度高，对教学改进有明显促进作用</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学生参评率≥</w:t>
            </w:r>
            <w:r w:rsidRPr="00D732C3">
              <w:rPr>
                <w:rFonts w:hint="eastAsia"/>
                <w:color w:val="000000"/>
                <w:sz w:val="18"/>
                <w:szCs w:val="18"/>
              </w:rPr>
              <w:t>85%</w:t>
            </w:r>
            <w:r w:rsidRPr="00D732C3">
              <w:rPr>
                <w:rFonts w:hint="eastAsia"/>
                <w:color w:val="000000"/>
                <w:sz w:val="18"/>
                <w:szCs w:val="18"/>
              </w:rPr>
              <w:t>，满意度较高，对教学改进有一定促进作用</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477"/>
          <w:jc w:val="center"/>
        </w:trPr>
        <w:tc>
          <w:tcPr>
            <w:tcW w:w="844" w:type="dxa"/>
            <w:vMerge w:val="restart"/>
            <w:tcBorders>
              <w:top w:val="single" w:sz="4" w:space="0" w:color="auto"/>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rPr>
            </w:pPr>
            <w:r>
              <w:rPr>
                <w:rFonts w:hint="eastAsia"/>
                <w:b/>
                <w:color w:val="000000"/>
              </w:rPr>
              <w:t>3.</w:t>
            </w:r>
            <w:bookmarkStart w:id="1" w:name="OLE_LINK2"/>
          </w:p>
          <w:p w:rsidR="00F05AA6" w:rsidRDefault="00F05AA6" w:rsidP="00D732C3">
            <w:pPr>
              <w:spacing w:line="0" w:lineRule="atLeast"/>
              <w:jc w:val="center"/>
              <w:rPr>
                <w:b/>
                <w:color w:val="000000"/>
              </w:rPr>
            </w:pPr>
            <w:r>
              <w:rPr>
                <w:rFonts w:hint="eastAsia"/>
                <w:b/>
                <w:color w:val="000000"/>
              </w:rPr>
              <w:t>专业</w:t>
            </w:r>
          </w:p>
          <w:p w:rsidR="00F05AA6" w:rsidRDefault="00F05AA6" w:rsidP="00D732C3">
            <w:pPr>
              <w:spacing w:line="0" w:lineRule="atLeast"/>
              <w:jc w:val="center"/>
              <w:rPr>
                <w:b/>
                <w:color w:val="000000"/>
              </w:rPr>
            </w:pPr>
            <w:r>
              <w:rPr>
                <w:rFonts w:hint="eastAsia"/>
                <w:b/>
                <w:color w:val="000000"/>
              </w:rPr>
              <w:t>基本</w:t>
            </w:r>
          </w:p>
          <w:p w:rsidR="00F05AA6" w:rsidRDefault="00F05AA6" w:rsidP="00D732C3">
            <w:pPr>
              <w:spacing w:line="0" w:lineRule="atLeast"/>
              <w:jc w:val="center"/>
              <w:rPr>
                <w:b/>
                <w:color w:val="000000"/>
              </w:rPr>
            </w:pPr>
            <w:r>
              <w:rPr>
                <w:rFonts w:hint="eastAsia"/>
                <w:b/>
                <w:color w:val="000000"/>
              </w:rPr>
              <w:t>条件</w:t>
            </w:r>
            <w:bookmarkEnd w:id="1"/>
          </w:p>
        </w:tc>
        <w:tc>
          <w:tcPr>
            <w:tcW w:w="1107" w:type="dxa"/>
            <w:vMerge w:val="restart"/>
            <w:tcBorders>
              <w:top w:val="single" w:sz="4" w:space="0" w:color="auto"/>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3.1</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实践</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教学</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条件</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实验教学设备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实验室设施完善，拥有用于本科教学的高新仪器设备，实验教学设备满足教学需要并有较高的更新率；实验开出率为</w:t>
            </w:r>
            <w:r w:rsidRPr="00D732C3">
              <w:rPr>
                <w:rFonts w:hint="eastAsia"/>
                <w:color w:val="000000"/>
                <w:sz w:val="18"/>
                <w:szCs w:val="18"/>
              </w:rPr>
              <w:t>100%</w:t>
            </w:r>
            <w:r w:rsidRPr="00D732C3">
              <w:rPr>
                <w:rFonts w:hint="eastAsia"/>
                <w:color w:val="000000"/>
                <w:sz w:val="18"/>
                <w:szCs w:val="18"/>
              </w:rPr>
              <w:t>，且实验项目能满足本专业人才培养的需要；综合性、设计性实验的占实验课程总数比例≥</w:t>
            </w:r>
            <w:r w:rsidRPr="00D732C3">
              <w:rPr>
                <w:rFonts w:hint="eastAsia"/>
                <w:color w:val="000000"/>
                <w:sz w:val="18"/>
                <w:szCs w:val="18"/>
              </w:rPr>
              <w:t>50%</w:t>
            </w:r>
            <w:r w:rsidRPr="00D732C3">
              <w:rPr>
                <w:rFonts w:hint="eastAsia"/>
                <w:color w:val="000000"/>
                <w:sz w:val="18"/>
                <w:szCs w:val="18"/>
              </w:rPr>
              <w:t>；有开放性实验室，实验室开放时间长，开放范围及覆盖面广</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实验室设施达到有关规定的要求，设备比较先进，能满足教学要求并有一定的更新率；实验开出率≥</w:t>
            </w:r>
            <w:r w:rsidRPr="00D732C3">
              <w:rPr>
                <w:rFonts w:hint="eastAsia"/>
                <w:color w:val="000000"/>
                <w:sz w:val="18"/>
                <w:szCs w:val="18"/>
              </w:rPr>
              <w:t>90%</w:t>
            </w:r>
            <w:r w:rsidRPr="00D732C3">
              <w:rPr>
                <w:rFonts w:hint="eastAsia"/>
                <w:color w:val="000000"/>
                <w:sz w:val="18"/>
                <w:szCs w:val="18"/>
              </w:rPr>
              <w:t>，实验项目基本满足本专业人才培养的需要；综合性、设计性实验的课程总数比例≥</w:t>
            </w:r>
            <w:r w:rsidRPr="00D732C3">
              <w:rPr>
                <w:rFonts w:hint="eastAsia"/>
                <w:color w:val="000000"/>
                <w:sz w:val="18"/>
                <w:szCs w:val="18"/>
              </w:rPr>
              <w:t>30%</w:t>
            </w:r>
            <w:r w:rsidRPr="00D732C3">
              <w:rPr>
                <w:rFonts w:hint="eastAsia"/>
                <w:color w:val="000000"/>
                <w:sz w:val="18"/>
                <w:szCs w:val="18"/>
              </w:rPr>
              <w:t>；有开放性实验室</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教学实习基地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校内外教学实习基地完善，稳定的校外实习基地≥</w:t>
            </w:r>
            <w:r w:rsidRPr="00D732C3">
              <w:rPr>
                <w:rFonts w:hint="eastAsia"/>
                <w:color w:val="000000"/>
                <w:sz w:val="18"/>
                <w:szCs w:val="18"/>
              </w:rPr>
              <w:t>5</w:t>
            </w:r>
            <w:r w:rsidRPr="00D732C3">
              <w:rPr>
                <w:rFonts w:hint="eastAsia"/>
                <w:color w:val="000000"/>
                <w:sz w:val="18"/>
                <w:szCs w:val="18"/>
              </w:rPr>
              <w:t>个，并能充分满足教学需要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教学实习基地完善，稳定的校外实习基地≥</w:t>
            </w:r>
            <w:r w:rsidRPr="00D732C3">
              <w:rPr>
                <w:rFonts w:hint="eastAsia"/>
                <w:color w:val="000000"/>
                <w:sz w:val="18"/>
                <w:szCs w:val="18"/>
              </w:rPr>
              <w:t>2</w:t>
            </w:r>
            <w:r w:rsidRPr="00D732C3">
              <w:rPr>
                <w:rFonts w:hint="eastAsia"/>
                <w:color w:val="000000"/>
                <w:sz w:val="18"/>
                <w:szCs w:val="18"/>
              </w:rPr>
              <w:t>个，并能基本满足实习教学需要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“教学实习基地”是指已经签订协议的实践场所，并有明确的实践教学目的和任务，能满足实践教学需要的场所。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3.2</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专业</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建设</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经费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专业建设经费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专业建设经费充足</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专业建设经费能满足基本要求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“专业建设经费”包含学校专项建设经费及部门经费中用于专业建设的经费，如课程建设费、教材建设费、耗材费、实习费、教学仪器设备维修费、教师培训等。</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r>
      <w:tr w:rsidR="00F05AA6" w:rsidTr="009F2F2F">
        <w:trPr>
          <w:trHeight w:val="856"/>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专业建设经费使用情况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专业建设经费年度预算执行率达到≥</w:t>
            </w:r>
            <w:r w:rsidRPr="00D732C3">
              <w:rPr>
                <w:rFonts w:hint="eastAsia"/>
                <w:color w:val="000000"/>
                <w:sz w:val="18"/>
                <w:szCs w:val="18"/>
              </w:rPr>
              <w:t>90%</w:t>
            </w:r>
            <w:r w:rsidRPr="00D732C3">
              <w:rPr>
                <w:rFonts w:hint="eastAsia"/>
                <w:color w:val="000000"/>
                <w:sz w:val="18"/>
                <w:szCs w:val="18"/>
              </w:rPr>
              <w:t>，对专业建设与教学改革起到促进作用</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专业建设经费年度预算执行率达到≥</w:t>
            </w:r>
            <w:r w:rsidRPr="00D732C3">
              <w:rPr>
                <w:rFonts w:hint="eastAsia"/>
                <w:color w:val="000000"/>
                <w:sz w:val="18"/>
                <w:szCs w:val="18"/>
              </w:rPr>
              <w:t>70%</w:t>
            </w:r>
            <w:r w:rsidRPr="00D732C3">
              <w:rPr>
                <w:rFonts w:hint="eastAsia"/>
                <w:color w:val="000000"/>
                <w:sz w:val="18"/>
                <w:szCs w:val="18"/>
              </w:rPr>
              <w:t>，保证日常教学工作的正常运行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95"/>
          <w:jc w:val="center"/>
        </w:trPr>
        <w:tc>
          <w:tcPr>
            <w:tcW w:w="844" w:type="dxa"/>
            <w:vMerge w:val="restart"/>
            <w:tcBorders>
              <w:top w:val="single" w:sz="8" w:space="0" w:color="000000"/>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b/>
                <w:color w:val="000000"/>
                <w:szCs w:val="21"/>
              </w:rPr>
            </w:pPr>
            <w:r>
              <w:rPr>
                <w:rFonts w:ascii="宋体" w:hAnsi="宋体" w:hint="eastAsia"/>
                <w:b/>
                <w:color w:val="000000"/>
                <w:szCs w:val="21"/>
              </w:rPr>
              <w:t>4.</w:t>
            </w:r>
            <w:bookmarkStart w:id="2" w:name="OLE_LINK3"/>
          </w:p>
          <w:p w:rsidR="00F05AA6" w:rsidRDefault="00F05AA6" w:rsidP="00D732C3">
            <w:pPr>
              <w:spacing w:line="0" w:lineRule="atLeast"/>
              <w:jc w:val="center"/>
              <w:rPr>
                <w:rFonts w:ascii="宋体" w:hAnsi="宋体"/>
                <w:b/>
                <w:color w:val="000000"/>
                <w:spacing w:val="-20"/>
                <w:szCs w:val="21"/>
              </w:rPr>
            </w:pPr>
            <w:r>
              <w:rPr>
                <w:rFonts w:ascii="宋体" w:hAnsi="宋体" w:hint="eastAsia"/>
                <w:b/>
                <w:color w:val="000000"/>
                <w:spacing w:val="-20"/>
                <w:szCs w:val="21"/>
              </w:rPr>
              <w:t>培养</w:t>
            </w:r>
          </w:p>
          <w:p w:rsidR="00F05AA6" w:rsidRDefault="00F05AA6" w:rsidP="00D732C3">
            <w:pPr>
              <w:spacing w:line="0" w:lineRule="atLeast"/>
              <w:jc w:val="center"/>
              <w:rPr>
                <w:rFonts w:ascii="宋体" w:hAnsi="宋体"/>
                <w:b/>
                <w:color w:val="000000"/>
                <w:szCs w:val="21"/>
              </w:rPr>
            </w:pPr>
            <w:r>
              <w:rPr>
                <w:rFonts w:ascii="宋体" w:hAnsi="宋体" w:hint="eastAsia"/>
                <w:b/>
                <w:color w:val="000000"/>
                <w:spacing w:val="-20"/>
                <w:szCs w:val="21"/>
              </w:rPr>
              <w:t>过程</w:t>
            </w:r>
            <w:bookmarkEnd w:id="2"/>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4.1</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人才</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培养</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方案</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专业人才</w:t>
            </w:r>
          </w:p>
          <w:p w:rsidR="00F05AA6" w:rsidRDefault="00F05AA6" w:rsidP="00D732C3">
            <w:pPr>
              <w:spacing w:line="0" w:lineRule="atLeast"/>
              <w:jc w:val="center"/>
              <w:rPr>
                <w:color w:val="000000"/>
                <w:szCs w:val="21"/>
              </w:rPr>
            </w:pPr>
            <w:r>
              <w:rPr>
                <w:rFonts w:hint="eastAsia"/>
                <w:color w:val="000000"/>
                <w:szCs w:val="21"/>
              </w:rPr>
              <w:t>培养方案</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培养方案的制定符合专业定位，体现人才全面发展的要求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培养方案的制定基本符合专业定位，基本体现人才全面发展的要求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549"/>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课程设置</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课程设置体现知识、能力、素质协调发展；专业核心课程设置完整，体现专业特色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课程设置基本反映培养目标要求，专业核心课程设置完整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课程结构</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总学时、学分适宜，课程结构优化，选修课学分占总学分的</w:t>
            </w:r>
            <w:r w:rsidRPr="00D732C3">
              <w:rPr>
                <w:rFonts w:hint="eastAsia"/>
                <w:color w:val="000000"/>
                <w:sz w:val="18"/>
                <w:szCs w:val="18"/>
              </w:rPr>
              <w:t>30%</w:t>
            </w:r>
            <w:r w:rsidRPr="00D732C3">
              <w:rPr>
                <w:rFonts w:hint="eastAsia"/>
                <w:color w:val="000000"/>
                <w:sz w:val="18"/>
                <w:szCs w:val="18"/>
              </w:rPr>
              <w:t>，实践环节的学分比例人文社科类达总学分的</w:t>
            </w:r>
            <w:r w:rsidRPr="00D732C3">
              <w:rPr>
                <w:rFonts w:hint="eastAsia"/>
                <w:color w:val="000000"/>
                <w:sz w:val="18"/>
                <w:szCs w:val="18"/>
              </w:rPr>
              <w:t>30%</w:t>
            </w:r>
            <w:r w:rsidRPr="00D732C3">
              <w:rPr>
                <w:rFonts w:hint="eastAsia"/>
                <w:color w:val="000000"/>
                <w:sz w:val="18"/>
                <w:szCs w:val="18"/>
              </w:rPr>
              <w:t>，理工农医及艺体类达</w:t>
            </w:r>
            <w:r w:rsidRPr="00D732C3">
              <w:rPr>
                <w:rFonts w:hint="eastAsia"/>
                <w:color w:val="000000"/>
                <w:sz w:val="18"/>
                <w:szCs w:val="18"/>
              </w:rPr>
              <w:t>35%</w:t>
            </w:r>
            <w:r w:rsidRPr="00D732C3">
              <w:rPr>
                <w:rFonts w:hint="eastAsia"/>
                <w:color w:val="000000"/>
                <w:sz w:val="18"/>
                <w:szCs w:val="18"/>
              </w:rPr>
              <w:t>，应用型专业达</w:t>
            </w:r>
            <w:r w:rsidRPr="00D732C3">
              <w:rPr>
                <w:rFonts w:hint="eastAsia"/>
                <w:color w:val="000000"/>
                <w:sz w:val="18"/>
                <w:szCs w:val="18"/>
              </w:rPr>
              <w:t>40%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总学时、学分较为适宜，课程结构基本合理，选修课学分比例达课内总学分的</w:t>
            </w:r>
            <w:r w:rsidRPr="00D732C3">
              <w:rPr>
                <w:rFonts w:hint="eastAsia"/>
                <w:color w:val="000000"/>
                <w:sz w:val="18"/>
                <w:szCs w:val="18"/>
              </w:rPr>
              <w:t>15%</w:t>
            </w:r>
            <w:r w:rsidRPr="00D732C3">
              <w:rPr>
                <w:rFonts w:hint="eastAsia"/>
                <w:color w:val="000000"/>
                <w:sz w:val="18"/>
                <w:szCs w:val="18"/>
              </w:rPr>
              <w:t>，实践环节的学分比例人文社科类达总学分的</w:t>
            </w:r>
            <w:r w:rsidRPr="00D732C3">
              <w:rPr>
                <w:rFonts w:hint="eastAsia"/>
                <w:color w:val="000000"/>
                <w:sz w:val="18"/>
                <w:szCs w:val="18"/>
              </w:rPr>
              <w:t>25%</w:t>
            </w:r>
            <w:r w:rsidRPr="00D732C3">
              <w:rPr>
                <w:rFonts w:hint="eastAsia"/>
                <w:color w:val="000000"/>
                <w:sz w:val="18"/>
                <w:szCs w:val="18"/>
              </w:rPr>
              <w:t>，理工农医及艺体类达</w:t>
            </w:r>
            <w:r w:rsidRPr="00D732C3">
              <w:rPr>
                <w:rFonts w:hint="eastAsia"/>
                <w:color w:val="000000"/>
                <w:sz w:val="18"/>
                <w:szCs w:val="18"/>
              </w:rPr>
              <w:t>30%</w:t>
            </w:r>
            <w:r w:rsidRPr="00D732C3">
              <w:rPr>
                <w:rFonts w:hint="eastAsia"/>
                <w:color w:val="000000"/>
                <w:sz w:val="18"/>
                <w:szCs w:val="18"/>
              </w:rPr>
              <w:t>，应用型专业达</w:t>
            </w:r>
            <w:r w:rsidRPr="00D732C3">
              <w:rPr>
                <w:rFonts w:hint="eastAsia"/>
                <w:color w:val="000000"/>
                <w:sz w:val="18"/>
                <w:szCs w:val="18"/>
              </w:rPr>
              <w:t>35%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课程标准</w:t>
            </w:r>
          </w:p>
          <w:p w:rsidR="00F05AA6" w:rsidRDefault="00F05AA6" w:rsidP="00D732C3">
            <w:pPr>
              <w:spacing w:line="0" w:lineRule="atLeast"/>
              <w:jc w:val="center"/>
              <w:rPr>
                <w:color w:val="000000"/>
                <w:szCs w:val="21"/>
              </w:rPr>
            </w:pPr>
            <w:r>
              <w:rPr>
                <w:rFonts w:hint="eastAsia"/>
                <w:color w:val="000000"/>
                <w:szCs w:val="21"/>
              </w:rPr>
              <w:t>（教学大纲）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课程标准（或教学大纲）符合培养目标，课程齐备，执行情况好</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课程标准（或教学大纲）基本符合培养目标，课程基本齐备，执行情况合格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val="restart"/>
            <w:tcBorders>
              <w:top w:val="single" w:sz="8" w:space="0" w:color="000000"/>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4.2</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课堂</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教学</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教学内容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课堂教学准备充分，内容丰富充实，能反映学科最新进展，能体现科研向教学转化服务</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课前备课，教学内容基本能教材及教学大纲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教学方法</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采用多种教学手段，积极改革教学（含考试）方法与手段，推进研究型教学，能激发学生学习的积极性、主动性及创造性，启发学生思维。利用现代信息技术教学，开设混合式课堂和网络课堂，效果好</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注意改革教学（含考试）方法与手段，具有多样化教学方法，利用现代信息技术教学，有一定成效</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研究型教学”是指以学生为主体，采取启发式、讨论式、案例教学等教学方法和探索、合作式学习方式，引导学生了解本学科不同学术观点并开展讨论、追踪学科领域最新进展；学生通过参与教师科学研究项目或自主确定选题开展研究等多种形式，进行初步的探索性研究工作。</w:t>
            </w:r>
          </w:p>
          <w:p w:rsidR="00F05AA6" w:rsidRPr="00D732C3" w:rsidRDefault="00F05AA6" w:rsidP="00D732C3">
            <w:pPr>
              <w:spacing w:line="0" w:lineRule="atLeast"/>
              <w:rPr>
                <w:color w:val="000000"/>
                <w:sz w:val="18"/>
                <w:szCs w:val="18"/>
              </w:rPr>
            </w:pPr>
            <w:r w:rsidRPr="00D732C3">
              <w:rPr>
                <w:rFonts w:hint="eastAsia"/>
                <w:color w:val="000000"/>
                <w:sz w:val="18"/>
                <w:szCs w:val="18"/>
              </w:rPr>
              <w:t>“现代信息技术”是指利用网络和多媒体技术教学。</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r>
      <w:tr w:rsidR="00F05AA6" w:rsidTr="009F2F2F">
        <w:trPr>
          <w:jc w:val="center"/>
        </w:trPr>
        <w:tc>
          <w:tcPr>
            <w:tcW w:w="844" w:type="dxa"/>
            <w:vMerge/>
            <w:tcBorders>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教材选用与建设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有科学的教材评估和选用制度，执行严格，教材选用整体水平高，使用效果好；针对本校的优势学科，有重点支持特色教材编写的规划和措施，成效好，获得省部级及以上奖励的教材≥</w:t>
            </w:r>
            <w:r w:rsidRPr="00D732C3">
              <w:rPr>
                <w:rFonts w:hint="eastAsia"/>
                <w:color w:val="000000"/>
                <w:sz w:val="18"/>
                <w:szCs w:val="18"/>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有科学的教材评估和选用制度，专业课程选用同行公认的优秀教材</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1230"/>
          <w:jc w:val="center"/>
        </w:trPr>
        <w:tc>
          <w:tcPr>
            <w:tcW w:w="844" w:type="dxa"/>
            <w:vMerge w:val="restart"/>
            <w:tcBorders>
              <w:top w:val="single" w:sz="8" w:space="0" w:color="000000"/>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b/>
                <w:color w:val="000000"/>
                <w:szCs w:val="21"/>
              </w:rPr>
            </w:pPr>
            <w:r>
              <w:rPr>
                <w:rFonts w:ascii="宋体" w:hAnsi="宋体" w:hint="eastAsia"/>
                <w:b/>
                <w:color w:val="000000"/>
                <w:szCs w:val="21"/>
              </w:rPr>
              <w:t>5.</w:t>
            </w:r>
            <w:bookmarkStart w:id="3" w:name="OLE_LINK4"/>
          </w:p>
          <w:p w:rsidR="00F05AA6" w:rsidRDefault="00F05AA6" w:rsidP="00D732C3">
            <w:pPr>
              <w:spacing w:line="0" w:lineRule="atLeast"/>
              <w:jc w:val="center"/>
              <w:rPr>
                <w:rFonts w:ascii="宋体" w:hAnsi="宋体"/>
                <w:b/>
                <w:color w:val="000000"/>
                <w:szCs w:val="21"/>
              </w:rPr>
            </w:pPr>
            <w:r>
              <w:rPr>
                <w:rFonts w:ascii="宋体" w:hAnsi="宋体" w:hint="eastAsia"/>
                <w:b/>
                <w:color w:val="000000"/>
                <w:spacing w:val="-20"/>
                <w:szCs w:val="21"/>
              </w:rPr>
              <w:t>教学</w:t>
            </w:r>
          </w:p>
          <w:p w:rsidR="00F05AA6" w:rsidRDefault="00F05AA6" w:rsidP="00D732C3">
            <w:pPr>
              <w:spacing w:line="0" w:lineRule="atLeast"/>
              <w:jc w:val="center"/>
              <w:rPr>
                <w:rFonts w:ascii="宋体" w:hAnsi="宋体"/>
                <w:b/>
                <w:color w:val="000000"/>
                <w:spacing w:val="-20"/>
                <w:szCs w:val="21"/>
              </w:rPr>
            </w:pPr>
            <w:r>
              <w:rPr>
                <w:rFonts w:ascii="宋体" w:hAnsi="宋体" w:hint="eastAsia"/>
                <w:b/>
                <w:color w:val="000000"/>
                <w:spacing w:val="-20"/>
                <w:szCs w:val="21"/>
              </w:rPr>
              <w:t>发展</w:t>
            </w:r>
          </w:p>
          <w:bookmarkEnd w:id="3"/>
          <w:p w:rsidR="00F05AA6" w:rsidRDefault="00F05AA6" w:rsidP="00D732C3">
            <w:pPr>
              <w:spacing w:line="0" w:lineRule="atLeast"/>
              <w:jc w:val="center"/>
              <w:rPr>
                <w:rFonts w:ascii="宋体" w:hAnsi="宋体"/>
                <w:b/>
                <w:color w:val="000000"/>
                <w:spacing w:val="-20"/>
                <w:szCs w:val="21"/>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5.1</w:t>
            </w:r>
          </w:p>
          <w:p w:rsidR="005D192B"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教学</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建设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课程建设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sz w:val="18"/>
                <w:szCs w:val="18"/>
              </w:rPr>
              <w:t>有课程建设规划，优化课程结构，课程整合优化力度大，建设有专业特色的课程群至少</w:t>
            </w:r>
            <w:r w:rsidRPr="00D732C3">
              <w:rPr>
                <w:rFonts w:hint="eastAsia"/>
                <w:sz w:val="18"/>
                <w:szCs w:val="18"/>
              </w:rPr>
              <w:t>1-2</w:t>
            </w:r>
            <w:r w:rsidRPr="00D732C3">
              <w:rPr>
                <w:rFonts w:hint="eastAsia"/>
                <w:sz w:val="18"/>
                <w:szCs w:val="18"/>
              </w:rPr>
              <w:t>个；专业核心课程完成重点课程建设；近三年建设有校级及以上精品系列课程（如精品课程、双语教学示范课程、校级应用创新型课程改革项目等）≥</w:t>
            </w:r>
            <w:r w:rsidRPr="00D732C3">
              <w:rPr>
                <w:rFonts w:hint="eastAsia"/>
                <w:sz w:val="18"/>
                <w:szCs w:val="18"/>
              </w:rPr>
              <w:t>2</w:t>
            </w:r>
            <w:r w:rsidRPr="00D732C3">
              <w:rPr>
                <w:rFonts w:hint="eastAsia"/>
                <w:sz w:val="18"/>
                <w:szCs w:val="18"/>
              </w:rPr>
              <w:t>门，同时在省级及以上多媒体课件比赛中获奖≥</w:t>
            </w:r>
            <w:r w:rsidRPr="00D732C3">
              <w:rPr>
                <w:rFonts w:hint="eastAsia"/>
                <w:sz w:val="18"/>
                <w:szCs w:val="18"/>
              </w:rPr>
              <w:t>2</w:t>
            </w:r>
            <w:r w:rsidRPr="00D732C3">
              <w:rPr>
                <w:rFonts w:hint="eastAsia"/>
                <w:sz w:val="18"/>
                <w:szCs w:val="18"/>
              </w:rPr>
              <w:t>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sz w:val="18"/>
                <w:szCs w:val="18"/>
              </w:rPr>
              <w:t>有课程建设规划，优化课程结构，专业核心课程基本完成重点课程建设，近三年在省级及以上多媒体课件比赛中获奖≥</w:t>
            </w:r>
            <w:r w:rsidRPr="00D732C3">
              <w:rPr>
                <w:rFonts w:hint="eastAsia"/>
                <w:sz w:val="18"/>
                <w:szCs w:val="18"/>
              </w:rPr>
              <w:t>1</w:t>
            </w:r>
            <w:r w:rsidRPr="00D732C3">
              <w:rPr>
                <w:rFonts w:hint="eastAsia"/>
                <w:sz w:val="18"/>
                <w:szCs w:val="18"/>
              </w:rPr>
              <w:t>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b/>
                <w:color w:val="000000"/>
                <w:spacing w:val="-20"/>
                <w:szCs w:val="21"/>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质量工程项目及获奖</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近三年本专业建设省级及以上教学改革项目（如质量工程等）</w:t>
            </w:r>
            <w:r w:rsidRPr="00D732C3">
              <w:rPr>
                <w:rFonts w:hint="eastAsia"/>
                <w:sz w:val="18"/>
                <w:szCs w:val="18"/>
              </w:rPr>
              <w:t>≥</w:t>
            </w:r>
            <w:r w:rsidRPr="00D732C3">
              <w:rPr>
                <w:rFonts w:hint="eastAsia"/>
                <w:color w:val="000000"/>
                <w:sz w:val="18"/>
                <w:szCs w:val="18"/>
              </w:rPr>
              <w:t>1</w:t>
            </w:r>
            <w:r w:rsidRPr="00D732C3">
              <w:rPr>
                <w:rFonts w:hint="eastAsia"/>
                <w:color w:val="000000"/>
                <w:sz w:val="18"/>
                <w:szCs w:val="18"/>
              </w:rPr>
              <w:t>项，教师获校级及以上教学奖励</w:t>
            </w:r>
            <w:r w:rsidRPr="00D732C3">
              <w:rPr>
                <w:rFonts w:hint="eastAsia"/>
                <w:sz w:val="18"/>
                <w:szCs w:val="18"/>
              </w:rPr>
              <w:t>≥</w:t>
            </w:r>
            <w:r w:rsidRPr="00D732C3">
              <w:rPr>
                <w:rFonts w:hint="eastAsia"/>
                <w:color w:val="000000"/>
                <w:sz w:val="18"/>
                <w:szCs w:val="18"/>
              </w:rPr>
              <w:t>5</w:t>
            </w:r>
            <w:r w:rsidRPr="00D732C3">
              <w:rPr>
                <w:rFonts w:hint="eastAsia"/>
                <w:color w:val="000000"/>
                <w:sz w:val="18"/>
                <w:szCs w:val="18"/>
              </w:rPr>
              <w:t>项，教师指导省级及以上大学生创新创业项目</w:t>
            </w:r>
            <w:r w:rsidRPr="00D732C3">
              <w:rPr>
                <w:rFonts w:hint="eastAsia"/>
                <w:sz w:val="18"/>
                <w:szCs w:val="18"/>
              </w:rPr>
              <w:t>≥</w:t>
            </w:r>
            <w:r w:rsidRPr="00D732C3">
              <w:rPr>
                <w:rFonts w:hint="eastAsia"/>
                <w:sz w:val="18"/>
                <w:szCs w:val="18"/>
              </w:rPr>
              <w:t>2</w:t>
            </w:r>
            <w:r w:rsidRPr="00D732C3">
              <w:rPr>
                <w:rFonts w:hint="eastAsia"/>
                <w:sz w:val="18"/>
                <w:szCs w:val="18"/>
              </w:rPr>
              <w:t>项</w:t>
            </w:r>
            <w:r w:rsidRPr="00D732C3">
              <w:rPr>
                <w:rFonts w:hint="eastAsia"/>
                <w:color w:val="000000"/>
                <w:sz w:val="18"/>
                <w:szCs w:val="18"/>
              </w:rPr>
              <w:t>，教师指导学生专业技能竞赛获得国家级奖励</w:t>
            </w:r>
            <w:r w:rsidRPr="00D732C3">
              <w:rPr>
                <w:rFonts w:hint="eastAsia"/>
                <w:sz w:val="18"/>
                <w:szCs w:val="18"/>
              </w:rPr>
              <w:t>≥</w:t>
            </w:r>
            <w:r w:rsidRPr="00D732C3">
              <w:rPr>
                <w:rFonts w:hint="eastAsia"/>
                <w:sz w:val="18"/>
                <w:szCs w:val="18"/>
              </w:rPr>
              <w:t>6</w:t>
            </w:r>
            <w:r w:rsidRPr="00D732C3">
              <w:rPr>
                <w:rFonts w:hint="eastAsia"/>
                <w:color w:val="000000"/>
                <w:sz w:val="18"/>
                <w:szCs w:val="18"/>
              </w:rPr>
              <w:t>次（或省级奖励</w:t>
            </w:r>
            <w:r w:rsidRPr="00D732C3">
              <w:rPr>
                <w:rFonts w:hint="eastAsia"/>
                <w:sz w:val="18"/>
                <w:szCs w:val="18"/>
              </w:rPr>
              <w:t>≥</w:t>
            </w:r>
            <w:r w:rsidRPr="00D732C3">
              <w:rPr>
                <w:rFonts w:hint="eastAsia"/>
                <w:sz w:val="18"/>
                <w:szCs w:val="18"/>
              </w:rPr>
              <w:t>35</w:t>
            </w:r>
            <w:r w:rsidRPr="00D732C3">
              <w:rPr>
                <w:rFonts w:hint="eastAsia"/>
                <w:sz w:val="18"/>
                <w:szCs w:val="18"/>
              </w:rPr>
              <w:t>次</w:t>
            </w:r>
            <w:r w:rsidRPr="00D732C3">
              <w:rPr>
                <w:rFonts w:hint="eastAsia"/>
                <w:color w:val="000000"/>
                <w:sz w:val="18"/>
                <w:szCs w:val="18"/>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近三年本专业教师获校级及以上教学奖励</w:t>
            </w:r>
            <w:r w:rsidRPr="00D732C3">
              <w:rPr>
                <w:rFonts w:hint="eastAsia"/>
                <w:sz w:val="18"/>
                <w:szCs w:val="18"/>
              </w:rPr>
              <w:t>≥</w:t>
            </w:r>
            <w:r w:rsidRPr="00D732C3">
              <w:rPr>
                <w:rFonts w:hint="eastAsia"/>
                <w:color w:val="000000"/>
                <w:sz w:val="18"/>
                <w:szCs w:val="18"/>
              </w:rPr>
              <w:t>2</w:t>
            </w:r>
            <w:r w:rsidRPr="00D732C3">
              <w:rPr>
                <w:rFonts w:hint="eastAsia"/>
                <w:color w:val="000000"/>
                <w:sz w:val="18"/>
                <w:szCs w:val="18"/>
              </w:rPr>
              <w:t>项，教师指导省级及以上大学生创新创业项目</w:t>
            </w:r>
            <w:r w:rsidRPr="00D732C3">
              <w:rPr>
                <w:rFonts w:hint="eastAsia"/>
                <w:sz w:val="18"/>
                <w:szCs w:val="18"/>
              </w:rPr>
              <w:t>≥</w:t>
            </w:r>
            <w:r w:rsidRPr="00D732C3">
              <w:rPr>
                <w:rFonts w:hint="eastAsia"/>
                <w:sz w:val="18"/>
                <w:szCs w:val="18"/>
              </w:rPr>
              <w:t>1</w:t>
            </w:r>
            <w:r w:rsidRPr="00D732C3">
              <w:rPr>
                <w:rFonts w:hint="eastAsia"/>
                <w:sz w:val="18"/>
                <w:szCs w:val="18"/>
              </w:rPr>
              <w:t>项</w:t>
            </w:r>
            <w:r w:rsidRPr="00D732C3">
              <w:rPr>
                <w:rFonts w:hint="eastAsia"/>
                <w:color w:val="000000"/>
                <w:sz w:val="18"/>
                <w:szCs w:val="18"/>
              </w:rPr>
              <w:t>，教师指导学生专业技能竞赛获得国家级奖励</w:t>
            </w:r>
            <w:r w:rsidRPr="00D732C3">
              <w:rPr>
                <w:rFonts w:hint="eastAsia"/>
                <w:sz w:val="18"/>
                <w:szCs w:val="18"/>
              </w:rPr>
              <w:t>≥</w:t>
            </w:r>
            <w:r w:rsidRPr="00D732C3">
              <w:rPr>
                <w:rFonts w:hint="eastAsia"/>
                <w:sz w:val="18"/>
                <w:szCs w:val="18"/>
              </w:rPr>
              <w:t>2</w:t>
            </w:r>
            <w:r w:rsidRPr="00D732C3">
              <w:rPr>
                <w:rFonts w:hint="eastAsia"/>
                <w:color w:val="000000"/>
                <w:sz w:val="18"/>
                <w:szCs w:val="18"/>
              </w:rPr>
              <w:t>次（或省级奖励</w:t>
            </w:r>
            <w:r w:rsidRPr="00D732C3">
              <w:rPr>
                <w:rFonts w:hint="eastAsia"/>
                <w:sz w:val="18"/>
                <w:szCs w:val="18"/>
              </w:rPr>
              <w:t>≥</w:t>
            </w:r>
            <w:r w:rsidRPr="00D732C3">
              <w:rPr>
                <w:rFonts w:hint="eastAsia"/>
                <w:sz w:val="18"/>
                <w:szCs w:val="18"/>
              </w:rPr>
              <w:t>15</w:t>
            </w:r>
            <w:r w:rsidRPr="00D732C3">
              <w:rPr>
                <w:rFonts w:hint="eastAsia"/>
                <w:sz w:val="18"/>
                <w:szCs w:val="18"/>
              </w:rPr>
              <w:t>次</w:t>
            </w:r>
            <w:r w:rsidRPr="00D732C3">
              <w:rPr>
                <w:rFonts w:hint="eastAsia"/>
                <w:color w:val="000000"/>
                <w:sz w:val="18"/>
                <w:szCs w:val="18"/>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860"/>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olor w:val="000000"/>
                <w:szCs w:val="21"/>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教研室、实验室建设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有清晰的教研室（实验室）发展规划、年度工作计划和工作总结；规章制度齐备并执行良好；档案资料齐全，管理规范；人员职责分工明确，有内部考核细则；管理规范，台账清楚。</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有教研室（实验室）工作计划及总结；有基本规章制度；档案资料基本齐备；台账清晰。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“资料档案”主要指教学计划、课程标准（教学大纲）、教学进度表、实验大纲、实验指导书、教学管理制度、试卷、毕业设计（论文）规范材料、教改材料等</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2C64A3" w:rsidRDefault="00F05AA6" w:rsidP="00D732C3">
            <w:pPr>
              <w:spacing w:line="0" w:lineRule="atLeast"/>
              <w:jc w:val="center"/>
              <w:rPr>
                <w:color w:val="000000"/>
                <w:sz w:val="18"/>
                <w:szCs w:val="18"/>
              </w:rPr>
            </w:pPr>
          </w:p>
        </w:tc>
      </w:tr>
      <w:tr w:rsidR="00F05AA6" w:rsidTr="009F2F2F">
        <w:trPr>
          <w:trHeight w:val="67"/>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olor w:val="000000"/>
                <w:szCs w:val="21"/>
              </w:rPr>
            </w:pPr>
          </w:p>
        </w:tc>
        <w:tc>
          <w:tcPr>
            <w:tcW w:w="1107" w:type="dxa"/>
            <w:vMerge w:val="restart"/>
            <w:tcBorders>
              <w:top w:val="single" w:sz="8" w:space="0" w:color="000000"/>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5.2</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实践</w:t>
            </w:r>
          </w:p>
          <w:p w:rsidR="00F05AA6" w:rsidRDefault="00F05AA6" w:rsidP="000A7EDE">
            <w:pPr>
              <w:spacing w:line="0" w:lineRule="atLeast"/>
              <w:jc w:val="center"/>
              <w:rPr>
                <w:rFonts w:ascii="宋体" w:hAnsi="宋体" w:cs="宋体"/>
                <w:b/>
                <w:bCs/>
                <w:color w:val="000000"/>
                <w:szCs w:val="21"/>
              </w:rPr>
            </w:pPr>
            <w:r>
              <w:rPr>
                <w:rFonts w:ascii="宋体" w:hAnsi="宋体" w:cs="宋体" w:hint="eastAsia"/>
                <w:b/>
                <w:bCs/>
                <w:color w:val="000000"/>
                <w:szCs w:val="21"/>
              </w:rPr>
              <w:t>教学</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实践教学体系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实践教学环节体系完备且有特色，设计科学合理，有培养学生创新意识、创新能力和实践能力的培养措施</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重视实践教学环节，体系设计科学合理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szCs w:val="21"/>
              </w:rPr>
            </w:pPr>
            <w:r>
              <w:rPr>
                <w:rFonts w:hint="eastAsia"/>
                <w:szCs w:val="21"/>
              </w:rPr>
              <w:t>实践教学内容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sz w:val="18"/>
                <w:szCs w:val="18"/>
              </w:rPr>
            </w:pPr>
            <w:r w:rsidRPr="00D732C3">
              <w:rPr>
                <w:rFonts w:hint="eastAsia"/>
                <w:sz w:val="18"/>
                <w:szCs w:val="18"/>
              </w:rPr>
              <w:t>引入最新成果注意内容更新，创造条件使学生较早参加科研和创新活动，效果好</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sz w:val="18"/>
                <w:szCs w:val="18"/>
              </w:rPr>
            </w:pPr>
            <w:r w:rsidRPr="00D732C3">
              <w:rPr>
                <w:rFonts w:hint="eastAsia"/>
                <w:sz w:val="18"/>
                <w:szCs w:val="18"/>
              </w:rPr>
              <w:t>基本符合培养目标的要求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89"/>
          <w:jc w:val="center"/>
        </w:trPr>
        <w:tc>
          <w:tcPr>
            <w:tcW w:w="844"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left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实习与</w:t>
            </w:r>
          </w:p>
          <w:p w:rsidR="00F05AA6" w:rsidRDefault="00F05AA6" w:rsidP="00D732C3">
            <w:pPr>
              <w:spacing w:line="0" w:lineRule="atLeast"/>
              <w:jc w:val="center"/>
              <w:rPr>
                <w:color w:val="000000"/>
                <w:szCs w:val="21"/>
              </w:rPr>
            </w:pPr>
            <w:r>
              <w:rPr>
                <w:rFonts w:hint="eastAsia"/>
                <w:color w:val="000000"/>
                <w:szCs w:val="21"/>
              </w:rPr>
              <w:t>社会实践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实习、见习严格执行培养方案要求，经费充足，实现双师指导，各环节质量监控得力；</w:t>
            </w:r>
            <w:r w:rsidRPr="00D732C3">
              <w:rPr>
                <w:rFonts w:hint="eastAsia"/>
                <w:color w:val="000000" w:themeColor="text1"/>
                <w:sz w:val="18"/>
                <w:szCs w:val="18"/>
              </w:rPr>
              <w:t>有科学、准确的考核评价标准；</w:t>
            </w:r>
            <w:r w:rsidRPr="00D732C3">
              <w:rPr>
                <w:rFonts w:hint="eastAsia"/>
                <w:color w:val="000000"/>
                <w:sz w:val="18"/>
                <w:szCs w:val="18"/>
              </w:rPr>
              <w:t>社会实践活动目的明确，内容针对性强，效果显著</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实习、见习严格执行培养方案要求，经费能满足基本要求，实习过程有监控；</w:t>
            </w:r>
            <w:r w:rsidRPr="00D732C3">
              <w:rPr>
                <w:rFonts w:hint="eastAsia"/>
                <w:color w:val="000000" w:themeColor="text1"/>
                <w:sz w:val="18"/>
                <w:szCs w:val="18"/>
              </w:rPr>
              <w:t>考核评价指标基本建立；</w:t>
            </w:r>
            <w:r w:rsidRPr="00D732C3">
              <w:rPr>
                <w:rFonts w:hint="eastAsia"/>
                <w:color w:val="000000"/>
                <w:sz w:val="18"/>
                <w:szCs w:val="18"/>
              </w:rPr>
              <w:t>社会实践活动开展效果较好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553"/>
          <w:jc w:val="center"/>
        </w:trPr>
        <w:tc>
          <w:tcPr>
            <w:tcW w:w="844" w:type="dxa"/>
            <w:vMerge/>
            <w:tcBorders>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rPr>
            </w:pPr>
          </w:p>
        </w:tc>
        <w:tc>
          <w:tcPr>
            <w:tcW w:w="1107" w:type="dxa"/>
            <w:vMerge/>
            <w:tcBorders>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毕业论文</w:t>
            </w:r>
          </w:p>
          <w:p w:rsidR="00F05AA6" w:rsidRDefault="00F05AA6" w:rsidP="00D732C3">
            <w:pPr>
              <w:spacing w:line="0" w:lineRule="atLeast"/>
              <w:jc w:val="center"/>
              <w:rPr>
                <w:color w:val="000000"/>
                <w:szCs w:val="21"/>
              </w:rPr>
            </w:pPr>
            <w:r>
              <w:rPr>
                <w:rFonts w:hint="eastAsia"/>
                <w:color w:val="000000"/>
                <w:szCs w:val="21"/>
              </w:rPr>
              <w:t>（设计）</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选题科学、合理，结合社会经济实际，能够做到一人一题，且各不相同。严格遵照答辩程序，评分合理。每位指导老师指导学生数≤</w:t>
            </w:r>
            <w:r w:rsidRPr="00D732C3">
              <w:rPr>
                <w:rFonts w:hint="eastAsia"/>
                <w:color w:val="000000"/>
                <w:sz w:val="18"/>
                <w:szCs w:val="18"/>
              </w:rPr>
              <w:t>6</w:t>
            </w:r>
            <w:r w:rsidRPr="00D732C3">
              <w:rPr>
                <w:rFonts w:hint="eastAsia"/>
                <w:color w:val="000000"/>
                <w:sz w:val="18"/>
                <w:szCs w:val="18"/>
              </w:rPr>
              <w:t>人，指导教师均具有中级以上职称或硕士学位，且高职比例≥</w:t>
            </w:r>
            <w:r w:rsidRPr="00D732C3">
              <w:rPr>
                <w:rFonts w:hint="eastAsia"/>
                <w:color w:val="000000"/>
                <w:sz w:val="18"/>
                <w:szCs w:val="18"/>
              </w:rPr>
              <w:t>40%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选题科学、合理，结合社会经济实际，答辩规范，评分合理，单个老师指导学生数≤</w:t>
            </w:r>
            <w:r w:rsidRPr="00D732C3">
              <w:rPr>
                <w:rFonts w:hint="eastAsia"/>
                <w:color w:val="000000"/>
                <w:sz w:val="18"/>
                <w:szCs w:val="18"/>
              </w:rPr>
              <w:t>8</w:t>
            </w:r>
            <w:r w:rsidRPr="00D732C3">
              <w:rPr>
                <w:rFonts w:hint="eastAsia"/>
                <w:color w:val="000000"/>
                <w:sz w:val="18"/>
                <w:szCs w:val="18"/>
              </w:rPr>
              <w:t>人，指导教师均具有中级以上职称或硕士学位，且高职比例≥</w:t>
            </w:r>
            <w:r w:rsidRPr="00D732C3">
              <w:rPr>
                <w:rFonts w:hint="eastAsia"/>
                <w:color w:val="000000"/>
                <w:sz w:val="18"/>
                <w:szCs w:val="18"/>
              </w:rPr>
              <w:t>20%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270"/>
          <w:jc w:val="center"/>
        </w:trPr>
        <w:tc>
          <w:tcPr>
            <w:tcW w:w="8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6.</w:t>
            </w:r>
            <w:bookmarkStart w:id="4" w:name="OLE_LINK5"/>
          </w:p>
          <w:p w:rsidR="00F05AA6" w:rsidRDefault="00F05AA6" w:rsidP="00D732C3">
            <w:pPr>
              <w:spacing w:line="0" w:lineRule="atLeast"/>
              <w:jc w:val="center"/>
              <w:rPr>
                <w:rFonts w:asciiTheme="minorEastAsia" w:eastAsiaTheme="minorEastAsia" w:hAnsiTheme="minorEastAsia"/>
                <w:b/>
                <w:color w:val="000000"/>
                <w:spacing w:val="-20"/>
                <w:szCs w:val="21"/>
              </w:rPr>
            </w:pPr>
            <w:r>
              <w:rPr>
                <w:rFonts w:asciiTheme="minorEastAsia" w:eastAsiaTheme="minorEastAsia" w:hAnsiTheme="minorEastAsia" w:hint="eastAsia"/>
                <w:b/>
                <w:color w:val="000000"/>
                <w:spacing w:val="-20"/>
                <w:szCs w:val="21"/>
              </w:rPr>
              <w:t>教学</w:t>
            </w:r>
          </w:p>
          <w:p w:rsidR="00F05AA6" w:rsidRDefault="00F05AA6" w:rsidP="00D732C3">
            <w:pPr>
              <w:spacing w:line="0" w:lineRule="atLeast"/>
              <w:jc w:val="center"/>
              <w:rPr>
                <w:rFonts w:asciiTheme="minorEastAsia" w:eastAsiaTheme="minorEastAsia" w:hAnsiTheme="minorEastAsia"/>
                <w:b/>
                <w:color w:val="000000"/>
                <w:spacing w:val="-20"/>
                <w:szCs w:val="21"/>
              </w:rPr>
            </w:pPr>
            <w:r>
              <w:rPr>
                <w:rFonts w:asciiTheme="minorEastAsia" w:eastAsiaTheme="minorEastAsia" w:hAnsiTheme="minorEastAsia" w:hint="eastAsia"/>
                <w:b/>
                <w:color w:val="000000"/>
                <w:spacing w:val="-20"/>
                <w:szCs w:val="21"/>
              </w:rPr>
              <w:t>管理</w:t>
            </w:r>
            <w:bookmarkEnd w:id="4"/>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6.1</w:t>
            </w:r>
          </w:p>
          <w:p w:rsidR="005D192B" w:rsidRDefault="00F05AA6" w:rsidP="00D732C3">
            <w:pPr>
              <w:spacing w:line="0" w:lineRule="atLeast"/>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教学</w:t>
            </w:r>
          </w:p>
          <w:p w:rsidR="00F05AA6" w:rsidRDefault="00F05AA6" w:rsidP="00D732C3">
            <w:pPr>
              <w:spacing w:line="0" w:lineRule="atLeast"/>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运行</w:t>
            </w:r>
          </w:p>
          <w:p w:rsidR="005D192B" w:rsidRDefault="00F05AA6" w:rsidP="00D732C3">
            <w:pPr>
              <w:spacing w:line="0" w:lineRule="atLeast"/>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与</w:t>
            </w:r>
          </w:p>
          <w:p w:rsidR="005D192B" w:rsidRDefault="00F05AA6" w:rsidP="00D732C3">
            <w:pPr>
              <w:spacing w:line="0" w:lineRule="atLeast"/>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质量</w:t>
            </w:r>
          </w:p>
          <w:p w:rsidR="00F05AA6" w:rsidRDefault="00F05AA6" w:rsidP="00D732C3">
            <w:pPr>
              <w:spacing w:line="0" w:lineRule="atLeast"/>
              <w:jc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控制</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教学运行监控</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建立了院系教学质量监控体系，建立了教学工作责任制，有完善的教师教学质量评价制度、新教师开课资格审查、学生学习质量评价、毕业生质量跟踪调查制度、教学信息反馈制度等教学环节质量监控措施，</w:t>
            </w:r>
            <w:r w:rsidRPr="00D732C3">
              <w:rPr>
                <w:rFonts w:hint="eastAsia"/>
                <w:color w:val="000000" w:themeColor="text1"/>
                <w:sz w:val="18"/>
                <w:szCs w:val="18"/>
              </w:rPr>
              <w:t>评价结果运用有制度保障，</w:t>
            </w:r>
            <w:r w:rsidRPr="00D732C3">
              <w:rPr>
                <w:rFonts w:hint="eastAsia"/>
                <w:color w:val="000000"/>
                <w:sz w:val="18"/>
                <w:szCs w:val="18"/>
              </w:rPr>
              <w:t>近三年无教学事故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p w:rsidR="00F05AA6" w:rsidRPr="00D732C3" w:rsidRDefault="00F05AA6" w:rsidP="00D732C3">
            <w:pPr>
              <w:spacing w:line="0" w:lineRule="atLeast"/>
              <w:rPr>
                <w:color w:val="000000"/>
                <w:sz w:val="18"/>
                <w:szCs w:val="18"/>
              </w:rPr>
            </w:pPr>
            <w:r w:rsidRPr="00D732C3">
              <w:rPr>
                <w:rFonts w:hint="eastAsia"/>
                <w:color w:val="000000"/>
                <w:sz w:val="18"/>
                <w:szCs w:val="18"/>
              </w:rPr>
              <w:t>建立了院系教学质量监控体系，开展了学生评教、同行评教、教师评学活动，新任教师实行了传帮带、试讲制等培养机制</w:t>
            </w:r>
          </w:p>
          <w:p w:rsidR="00F05AA6" w:rsidRPr="00D732C3" w:rsidRDefault="00F05AA6" w:rsidP="00D732C3">
            <w:pPr>
              <w:spacing w:line="0" w:lineRule="atLeast"/>
              <w:rPr>
                <w:color w:val="000000"/>
                <w:sz w:val="18"/>
                <w:szCs w:val="18"/>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教学</w:t>
            </w:r>
          </w:p>
          <w:p w:rsidR="00F05AA6" w:rsidRDefault="00F05AA6" w:rsidP="00D732C3">
            <w:pPr>
              <w:spacing w:line="0" w:lineRule="atLeast"/>
              <w:jc w:val="center"/>
              <w:rPr>
                <w:color w:val="000000"/>
                <w:szCs w:val="21"/>
              </w:rPr>
            </w:pPr>
            <w:r>
              <w:rPr>
                <w:rFonts w:hint="eastAsia"/>
                <w:color w:val="000000"/>
                <w:szCs w:val="21"/>
              </w:rPr>
              <w:t>质量标准</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各教学环节质量标准完善、合理，反映本专业教学运行规律，执行严格，效果显著</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各教学环节质量标准基本建立，执行较为严格，效果明显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规章制度</w:t>
            </w:r>
          </w:p>
          <w:p w:rsidR="00F05AA6" w:rsidRDefault="00F05AA6" w:rsidP="00D732C3">
            <w:pPr>
              <w:spacing w:line="0" w:lineRule="atLeast"/>
              <w:jc w:val="center"/>
              <w:rPr>
                <w:color w:val="000000"/>
                <w:szCs w:val="21"/>
              </w:rPr>
            </w:pPr>
            <w:r>
              <w:rPr>
                <w:rFonts w:hint="eastAsia"/>
                <w:color w:val="000000"/>
                <w:szCs w:val="21"/>
              </w:rPr>
              <w:t>执行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严格执行校院教学管理制度，效果好</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严格执行校院教学管理制度，效果较好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455"/>
          <w:jc w:val="center"/>
        </w:trPr>
        <w:tc>
          <w:tcPr>
            <w:tcW w:w="84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pacing w:val="-20"/>
                <w:szCs w:val="21"/>
              </w:rPr>
            </w:pPr>
            <w:r>
              <w:rPr>
                <w:rFonts w:ascii="宋体" w:hAnsi="宋体" w:cs="宋体" w:hint="eastAsia"/>
                <w:b/>
                <w:color w:val="000000"/>
                <w:spacing w:val="-20"/>
                <w:szCs w:val="21"/>
              </w:rPr>
              <w:t>7.</w:t>
            </w:r>
          </w:p>
          <w:p w:rsidR="00F05AA6" w:rsidRDefault="00F05AA6" w:rsidP="00D732C3">
            <w:pPr>
              <w:spacing w:line="0" w:lineRule="atLeast"/>
              <w:jc w:val="center"/>
              <w:rPr>
                <w:rFonts w:ascii="宋体" w:hAnsi="宋体" w:cs="宋体"/>
                <w:b/>
                <w:color w:val="000000"/>
                <w:spacing w:val="-20"/>
                <w:szCs w:val="21"/>
              </w:rPr>
            </w:pPr>
            <w:bookmarkStart w:id="5" w:name="OLE_LINK6"/>
            <w:r>
              <w:rPr>
                <w:rFonts w:ascii="宋体" w:hAnsi="宋体" w:cs="宋体" w:hint="eastAsia"/>
                <w:b/>
                <w:color w:val="000000"/>
                <w:spacing w:val="-20"/>
                <w:szCs w:val="21"/>
              </w:rPr>
              <w:t>人才</w:t>
            </w:r>
          </w:p>
          <w:p w:rsidR="00F05AA6" w:rsidRDefault="00F05AA6" w:rsidP="00D732C3">
            <w:pPr>
              <w:spacing w:line="0" w:lineRule="atLeast"/>
              <w:jc w:val="center"/>
              <w:rPr>
                <w:rFonts w:ascii="宋体" w:hAnsi="宋体" w:cs="宋体"/>
                <w:b/>
                <w:color w:val="000000"/>
                <w:spacing w:val="-20"/>
                <w:szCs w:val="21"/>
              </w:rPr>
            </w:pPr>
            <w:r>
              <w:rPr>
                <w:rFonts w:ascii="宋体" w:hAnsi="宋体" w:cs="宋体" w:hint="eastAsia"/>
                <w:b/>
                <w:color w:val="000000"/>
                <w:spacing w:val="-20"/>
                <w:szCs w:val="21"/>
              </w:rPr>
              <w:t>培养</w:t>
            </w:r>
          </w:p>
          <w:p w:rsidR="00F05AA6" w:rsidRDefault="00F05AA6" w:rsidP="00D732C3">
            <w:pPr>
              <w:spacing w:line="0" w:lineRule="atLeast"/>
              <w:jc w:val="center"/>
              <w:rPr>
                <w:rFonts w:ascii="宋体" w:hAnsi="宋体" w:cs="宋体"/>
                <w:b/>
                <w:color w:val="000000"/>
                <w:spacing w:val="-20"/>
                <w:sz w:val="24"/>
              </w:rPr>
            </w:pPr>
            <w:r>
              <w:rPr>
                <w:rFonts w:ascii="宋体" w:hAnsi="宋体" w:cs="宋体" w:hint="eastAsia"/>
                <w:b/>
                <w:color w:val="000000"/>
                <w:spacing w:val="-20"/>
                <w:szCs w:val="21"/>
              </w:rPr>
              <w:t>质量</w:t>
            </w:r>
            <w:bookmarkEnd w:id="5"/>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7.1</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一次性</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毕业率、</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学位授</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予率、</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升硕率</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一次性毕业率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一次性毕业率达</w:t>
            </w:r>
            <w:r w:rsidRPr="00D732C3">
              <w:rPr>
                <w:rFonts w:hint="eastAsia"/>
                <w:color w:val="000000"/>
                <w:sz w:val="18"/>
                <w:szCs w:val="18"/>
              </w:rPr>
              <w:t>100%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一次性毕业率</w:t>
            </w:r>
            <w:r w:rsidRPr="00D732C3">
              <w:rPr>
                <w:rFonts w:hint="eastAsia"/>
                <w:color w:val="000000"/>
                <w:sz w:val="18"/>
                <w:szCs w:val="18"/>
              </w:rPr>
              <w:t>90%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pacing w:val="-2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一次性</w:t>
            </w:r>
          </w:p>
          <w:p w:rsidR="00F05AA6" w:rsidRDefault="00F05AA6" w:rsidP="00D732C3">
            <w:pPr>
              <w:spacing w:line="0" w:lineRule="atLeast"/>
              <w:jc w:val="center"/>
              <w:rPr>
                <w:color w:val="000000"/>
                <w:szCs w:val="21"/>
              </w:rPr>
            </w:pPr>
            <w:r>
              <w:rPr>
                <w:rFonts w:hint="eastAsia"/>
                <w:color w:val="000000"/>
                <w:szCs w:val="21"/>
              </w:rPr>
              <w:t>学士学位</w:t>
            </w:r>
          </w:p>
          <w:p w:rsidR="00F05AA6" w:rsidRDefault="00F05AA6" w:rsidP="00D732C3">
            <w:pPr>
              <w:spacing w:line="0" w:lineRule="atLeast"/>
              <w:jc w:val="center"/>
              <w:rPr>
                <w:color w:val="000000"/>
                <w:szCs w:val="21"/>
              </w:rPr>
            </w:pPr>
            <w:r>
              <w:rPr>
                <w:rFonts w:hint="eastAsia"/>
                <w:color w:val="000000"/>
                <w:szCs w:val="21"/>
              </w:rPr>
              <w:t>授予率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一次性学士学位授予率达</w:t>
            </w:r>
            <w:r w:rsidRPr="00D732C3">
              <w:rPr>
                <w:rFonts w:hint="eastAsia"/>
                <w:color w:val="000000"/>
                <w:sz w:val="18"/>
                <w:szCs w:val="18"/>
              </w:rPr>
              <w:t>100%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一次性学士学位授予率</w:t>
            </w:r>
            <w:r w:rsidRPr="00D732C3">
              <w:rPr>
                <w:rFonts w:hint="eastAsia"/>
                <w:color w:val="000000"/>
                <w:sz w:val="18"/>
                <w:szCs w:val="18"/>
              </w:rPr>
              <w:t>90%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pacing w:val="-2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升硕率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近三届本科毕业生学生平均升硕率≥</w:t>
            </w:r>
            <w:r w:rsidRPr="00D732C3">
              <w:rPr>
                <w:rFonts w:hint="eastAsia"/>
                <w:color w:val="000000"/>
                <w:sz w:val="18"/>
                <w:szCs w:val="18"/>
              </w:rPr>
              <w:t>10%</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近三届本科毕业生学生平均升硕率≥</w:t>
            </w:r>
            <w:r w:rsidRPr="00D732C3">
              <w:rPr>
                <w:rFonts w:hint="eastAsia"/>
                <w:color w:val="000000"/>
                <w:sz w:val="18"/>
                <w:szCs w:val="18"/>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11"/>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z w:val="24"/>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7.2</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学生</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科研</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活动</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与</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学科</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竞赛</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学生参加科研及创新活动</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积极参与老师的课题，科研项目成果显著；</w:t>
            </w:r>
            <w:bookmarkStart w:id="6" w:name="OLE_LINK8"/>
            <w:r w:rsidRPr="00D732C3">
              <w:rPr>
                <w:rFonts w:hint="eastAsia"/>
                <w:color w:val="000000"/>
                <w:sz w:val="18"/>
                <w:szCs w:val="18"/>
              </w:rPr>
              <w:t>学生参加省级及以上大学生创新创业项目≥</w:t>
            </w:r>
            <w:r w:rsidRPr="00D732C3">
              <w:rPr>
                <w:rFonts w:hint="eastAsia"/>
                <w:color w:val="000000"/>
                <w:sz w:val="18"/>
                <w:szCs w:val="18"/>
              </w:rPr>
              <w:t>2</w:t>
            </w:r>
            <w:r w:rsidRPr="00D732C3">
              <w:rPr>
                <w:rFonts w:hint="eastAsia"/>
                <w:color w:val="000000"/>
                <w:sz w:val="18"/>
                <w:szCs w:val="18"/>
              </w:rPr>
              <w:t>项</w:t>
            </w:r>
            <w:bookmarkEnd w:id="6"/>
            <w:r w:rsidRPr="00D732C3">
              <w:rPr>
                <w:rFonts w:hint="eastAsia"/>
                <w:color w:val="000000"/>
                <w:sz w:val="18"/>
                <w:szCs w:val="18"/>
              </w:rPr>
              <w:t>；课内外实践教学效果好，学生实践能力强，参加课内外科技文化活动的学生人数多、效果好</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有较稳定的科研方向，有一定数量的科研项目成果；积极组织学生参加多种形式的校内外、课内外创新实践活动；参加课内外科技文化活动的学生人数较多、并取得较好效果</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学生发表论文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近三年学生公开发表学术论文或者文学作品≥</w:t>
            </w:r>
            <w:r w:rsidRPr="00D732C3">
              <w:rPr>
                <w:rFonts w:hint="eastAsia"/>
                <w:color w:val="000000"/>
                <w:sz w:val="18"/>
                <w:szCs w:val="18"/>
              </w:rPr>
              <w:t>3</w:t>
            </w:r>
            <w:r w:rsidRPr="00D732C3">
              <w:rPr>
                <w:rFonts w:hint="eastAsia"/>
                <w:color w:val="000000"/>
                <w:sz w:val="18"/>
                <w:szCs w:val="18"/>
              </w:rPr>
              <w:t>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近三年公开发表学术论文或者文学作品≥</w:t>
            </w:r>
            <w:r w:rsidRPr="00D732C3">
              <w:rPr>
                <w:rFonts w:hint="eastAsia"/>
                <w:color w:val="000000"/>
                <w:sz w:val="18"/>
                <w:szCs w:val="18"/>
              </w:rPr>
              <w:t>1</w:t>
            </w:r>
            <w:r w:rsidRPr="00D732C3">
              <w:rPr>
                <w:rFonts w:hint="eastAsia"/>
                <w:color w:val="000000"/>
                <w:sz w:val="18"/>
                <w:szCs w:val="18"/>
              </w:rPr>
              <w:t>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学科竞赛</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近三年来，积极参加各种技能和科技竞赛活动，获省部级及以上竞赛奖励≥</w:t>
            </w:r>
            <w:r w:rsidRPr="00D732C3">
              <w:rPr>
                <w:rFonts w:hint="eastAsia"/>
                <w:color w:val="000000"/>
                <w:sz w:val="18"/>
                <w:szCs w:val="18"/>
              </w:rPr>
              <w:t>10</w:t>
            </w:r>
            <w:r w:rsidRPr="00D732C3">
              <w:rPr>
                <w:rFonts w:hint="eastAsia"/>
                <w:color w:val="000000"/>
                <w:sz w:val="18"/>
                <w:szCs w:val="18"/>
              </w:rPr>
              <w:t>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近三年来，积极参加各种技能和科技竞赛活动，获校级及以上竞赛奖励≥</w:t>
            </w:r>
            <w:r w:rsidRPr="00D732C3">
              <w:rPr>
                <w:rFonts w:hint="eastAsia"/>
                <w:color w:val="000000"/>
                <w:sz w:val="18"/>
                <w:szCs w:val="18"/>
              </w:rPr>
              <w:t>5</w:t>
            </w:r>
            <w:r w:rsidRPr="00D732C3">
              <w:rPr>
                <w:rFonts w:hint="eastAsia"/>
                <w:color w:val="000000"/>
                <w:sz w:val="18"/>
                <w:szCs w:val="18"/>
              </w:rPr>
              <w:t>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z w:val="24"/>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7.3</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社会</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声誉</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专业招生</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最低录取分数高于同批学校录取最低控制线≥</w:t>
            </w:r>
            <w:r w:rsidRPr="00D732C3">
              <w:rPr>
                <w:rFonts w:hint="eastAsia"/>
                <w:color w:val="000000" w:themeColor="text1"/>
                <w:sz w:val="18"/>
                <w:szCs w:val="18"/>
              </w:rPr>
              <w:t>70</w:t>
            </w:r>
            <w:r w:rsidRPr="00D732C3">
              <w:rPr>
                <w:rFonts w:hint="eastAsia"/>
                <w:color w:val="000000" w:themeColor="text1"/>
                <w:sz w:val="18"/>
                <w:szCs w:val="18"/>
              </w:rPr>
              <w:t>分</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最低录取分数高于同批学校录取最低控制业≥</w:t>
            </w:r>
            <w:r w:rsidRPr="00D732C3">
              <w:rPr>
                <w:rFonts w:hint="eastAsia"/>
                <w:color w:val="000000" w:themeColor="text1"/>
                <w:sz w:val="18"/>
                <w:szCs w:val="18"/>
              </w:rPr>
              <w:t>60</w:t>
            </w:r>
            <w:r w:rsidRPr="00D732C3">
              <w:rPr>
                <w:rFonts w:hint="eastAsia"/>
                <w:color w:val="000000" w:themeColor="text1"/>
                <w:sz w:val="18"/>
                <w:szCs w:val="18"/>
              </w:rPr>
              <w:t>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毕业生就业</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sz w:val="18"/>
                <w:szCs w:val="18"/>
              </w:rPr>
            </w:pPr>
            <w:r w:rsidRPr="00D732C3">
              <w:rPr>
                <w:rFonts w:hint="eastAsia"/>
                <w:sz w:val="18"/>
                <w:szCs w:val="18"/>
              </w:rPr>
              <w:t>近三届毕业生年终就业率</w:t>
            </w:r>
            <w:r w:rsidRPr="00D732C3">
              <w:rPr>
                <w:rFonts w:hint="eastAsia"/>
                <w:color w:val="000000"/>
                <w:sz w:val="18"/>
                <w:szCs w:val="18"/>
              </w:rPr>
              <w:t>≥</w:t>
            </w:r>
            <w:r w:rsidRPr="00D732C3">
              <w:rPr>
                <w:rFonts w:hint="eastAsia"/>
                <w:sz w:val="18"/>
                <w:szCs w:val="18"/>
              </w:rPr>
              <w:t>95%</w:t>
            </w:r>
            <w:r w:rsidRPr="00D732C3">
              <w:rPr>
                <w:rFonts w:hint="eastAsia"/>
                <w:sz w:val="18"/>
                <w:szCs w:val="18"/>
              </w:rPr>
              <w:t>，专业对口率</w:t>
            </w:r>
            <w:r w:rsidRPr="00D732C3">
              <w:rPr>
                <w:rFonts w:hint="eastAsia"/>
                <w:color w:val="000000"/>
                <w:sz w:val="18"/>
                <w:szCs w:val="18"/>
              </w:rPr>
              <w:t>≥</w:t>
            </w:r>
            <w:r w:rsidRPr="00D732C3">
              <w:rPr>
                <w:rFonts w:hint="eastAsia"/>
                <w:color w:val="000000"/>
                <w:sz w:val="18"/>
                <w:szCs w:val="18"/>
              </w:rPr>
              <w:t>85%</w:t>
            </w:r>
            <w:r w:rsidRPr="00D732C3">
              <w:rPr>
                <w:rFonts w:hint="eastAsia"/>
                <w:color w:val="000000"/>
                <w:sz w:val="18"/>
                <w:szCs w:val="18"/>
              </w:rPr>
              <w:t>，</w:t>
            </w:r>
            <w:r w:rsidRPr="00D732C3">
              <w:rPr>
                <w:rFonts w:hint="eastAsia"/>
                <w:sz w:val="18"/>
                <w:szCs w:val="18"/>
              </w:rPr>
              <w:t>就业质量好</w:t>
            </w:r>
            <w:r w:rsidRPr="00D732C3">
              <w:rPr>
                <w:sz w:val="18"/>
                <w:szCs w:val="18"/>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sz w:val="18"/>
                <w:szCs w:val="18"/>
              </w:rPr>
            </w:pPr>
            <w:r w:rsidRPr="00D732C3">
              <w:rPr>
                <w:rFonts w:hint="eastAsia"/>
                <w:sz w:val="18"/>
                <w:szCs w:val="18"/>
              </w:rPr>
              <w:t>近三届毕业生年终就业率</w:t>
            </w:r>
            <w:r w:rsidRPr="00D732C3">
              <w:rPr>
                <w:rFonts w:hint="eastAsia"/>
                <w:color w:val="000000"/>
                <w:sz w:val="18"/>
                <w:szCs w:val="18"/>
              </w:rPr>
              <w:t>≥</w:t>
            </w:r>
            <w:r w:rsidRPr="00D732C3">
              <w:rPr>
                <w:rFonts w:hint="eastAsia"/>
                <w:sz w:val="18"/>
                <w:szCs w:val="18"/>
              </w:rPr>
              <w:t>80%</w:t>
            </w:r>
            <w:r w:rsidRPr="00D732C3">
              <w:rPr>
                <w:rFonts w:hint="eastAsia"/>
                <w:sz w:val="18"/>
                <w:szCs w:val="18"/>
              </w:rPr>
              <w:t>，专业对口率</w:t>
            </w:r>
            <w:r w:rsidRPr="00D732C3">
              <w:rPr>
                <w:rFonts w:hint="eastAsia"/>
                <w:color w:val="000000"/>
                <w:sz w:val="18"/>
                <w:szCs w:val="18"/>
              </w:rPr>
              <w:t>≥</w:t>
            </w:r>
            <w:r w:rsidRPr="00D732C3">
              <w:rPr>
                <w:rFonts w:hint="eastAsia"/>
                <w:color w:val="000000"/>
                <w:sz w:val="18"/>
                <w:szCs w:val="18"/>
              </w:rPr>
              <w:t>70%</w:t>
            </w:r>
            <w:r w:rsidRPr="00D732C3">
              <w:rPr>
                <w:sz w:val="18"/>
                <w:szCs w:val="18"/>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932"/>
          <w:jc w:val="center"/>
        </w:trPr>
        <w:tc>
          <w:tcPr>
            <w:tcW w:w="84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z w:val="24"/>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毕业生用人</w:t>
            </w:r>
          </w:p>
          <w:p w:rsidR="00F05AA6" w:rsidRDefault="00F05AA6" w:rsidP="00D732C3">
            <w:pPr>
              <w:spacing w:line="0" w:lineRule="atLeast"/>
              <w:jc w:val="center"/>
              <w:rPr>
                <w:color w:val="000000"/>
                <w:szCs w:val="21"/>
              </w:rPr>
            </w:pPr>
            <w:r>
              <w:rPr>
                <w:rFonts w:hint="eastAsia"/>
                <w:color w:val="000000"/>
                <w:szCs w:val="21"/>
              </w:rPr>
              <w:t>单位反映</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用人单位对毕业生的敬业精神、工作态度、业务能力等方面整体反映好，满意度高</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用人单位对毕业生的的整体反映较好</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r w:rsidR="00F05AA6" w:rsidTr="009F2F2F">
        <w:trPr>
          <w:trHeight w:val="67"/>
          <w:jc w:val="center"/>
        </w:trPr>
        <w:tc>
          <w:tcPr>
            <w:tcW w:w="8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color w:val="000000"/>
                <w:szCs w:val="21"/>
              </w:rPr>
            </w:pPr>
            <w:r>
              <w:rPr>
                <w:rFonts w:ascii="宋体" w:hAnsi="宋体" w:cs="宋体" w:hint="eastAsia"/>
                <w:b/>
                <w:color w:val="000000"/>
                <w:szCs w:val="21"/>
              </w:rPr>
              <w:t>8.</w:t>
            </w:r>
          </w:p>
          <w:p w:rsidR="00F05AA6" w:rsidRDefault="00F05AA6" w:rsidP="00D732C3">
            <w:pPr>
              <w:spacing w:line="0" w:lineRule="atLeast"/>
              <w:jc w:val="center"/>
              <w:rPr>
                <w:rFonts w:ascii="宋体" w:hAnsi="宋体" w:cs="宋体"/>
                <w:b/>
                <w:color w:val="000000"/>
                <w:szCs w:val="21"/>
              </w:rPr>
            </w:pPr>
            <w:bookmarkStart w:id="7" w:name="OLE_LINK7"/>
            <w:r>
              <w:rPr>
                <w:rFonts w:ascii="宋体" w:hAnsi="宋体" w:cs="宋体" w:hint="eastAsia"/>
                <w:b/>
                <w:color w:val="000000"/>
                <w:szCs w:val="21"/>
              </w:rPr>
              <w:t>专业特色</w:t>
            </w:r>
            <w:bookmarkEnd w:id="7"/>
          </w:p>
        </w:tc>
        <w:tc>
          <w:tcPr>
            <w:tcW w:w="11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8.1</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专业特色</w:t>
            </w:r>
          </w:p>
          <w:p w:rsidR="00F05AA6" w:rsidRDefault="00F05AA6" w:rsidP="00D732C3">
            <w:pPr>
              <w:spacing w:line="0" w:lineRule="atLeast"/>
              <w:jc w:val="center"/>
              <w:rPr>
                <w:rFonts w:ascii="宋体" w:hAnsi="宋体" w:cs="宋体"/>
                <w:b/>
                <w:bCs/>
                <w:color w:val="000000"/>
                <w:szCs w:val="21"/>
              </w:rPr>
            </w:pPr>
            <w:r>
              <w:rPr>
                <w:rFonts w:ascii="宋体" w:hAnsi="宋体" w:cs="宋体" w:hint="eastAsia"/>
                <w:b/>
                <w:bCs/>
                <w:color w:val="000000"/>
                <w:szCs w:val="21"/>
              </w:rPr>
              <w:t>和优势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r>
              <w:rPr>
                <w:rFonts w:hint="eastAsia"/>
                <w:color w:val="000000"/>
                <w:szCs w:val="21"/>
              </w:rPr>
              <w:t>专业特色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与同类专业相比，特色鲜明，优势突出，有较大影响力</w:t>
            </w:r>
          </w:p>
        </w:tc>
        <w:tc>
          <w:tcPr>
            <w:tcW w:w="34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r w:rsidRPr="00D732C3">
              <w:rPr>
                <w:rFonts w:hint="eastAsia"/>
                <w:color w:val="000000"/>
                <w:sz w:val="18"/>
                <w:szCs w:val="18"/>
              </w:rPr>
              <w:t>有一定特色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Pr="00D732C3" w:rsidRDefault="00F05AA6" w:rsidP="00D732C3">
            <w:pPr>
              <w:spacing w:line="0" w:lineRule="atLeast"/>
              <w:rPr>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c>
          <w:tcPr>
            <w:tcW w:w="11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5AA6" w:rsidRDefault="00F05AA6" w:rsidP="00D732C3">
            <w:pPr>
              <w:spacing w:line="0" w:lineRule="atLeast"/>
              <w:jc w:val="center"/>
              <w:rPr>
                <w:color w:val="000000"/>
                <w:szCs w:val="21"/>
              </w:rPr>
            </w:pPr>
          </w:p>
        </w:tc>
      </w:tr>
    </w:tbl>
    <w:p w:rsidR="00C92935" w:rsidRDefault="00785CF2">
      <w:pPr>
        <w:rPr>
          <w:rFonts w:asciiTheme="minorEastAsia" w:eastAsiaTheme="minorEastAsia" w:hAnsiTheme="minorEastAsia"/>
          <w:sz w:val="24"/>
        </w:rPr>
      </w:pPr>
      <w:r>
        <w:rPr>
          <w:rFonts w:asciiTheme="minorEastAsia" w:eastAsiaTheme="minorEastAsia" w:hAnsiTheme="minorEastAsia" w:hint="eastAsia"/>
          <w:sz w:val="24"/>
        </w:rPr>
        <w:t>注：在具体评估过程中，若因专业性质、特点不同等原因，某一指标无法评估时，该指标按B级计入。</w:t>
      </w:r>
    </w:p>
    <w:p w:rsidR="005D192B" w:rsidRPr="005D192B" w:rsidRDefault="000C18D9" w:rsidP="005D192B">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005D192B" w:rsidRPr="005D192B">
        <w:rPr>
          <w:rFonts w:asciiTheme="minorEastAsia" w:eastAsiaTheme="minorEastAsia" w:hAnsiTheme="minorEastAsia" w:hint="eastAsia"/>
          <w:sz w:val="24"/>
          <w:szCs w:val="21"/>
        </w:rPr>
        <w:t>本科专业评估等级标准分为优秀、良好、合格、不合格四个等级，评估结论根据主要观测点的达标等级及其数量认定。具体标准如下：</w:t>
      </w:r>
    </w:p>
    <w:tbl>
      <w:tblPr>
        <w:tblStyle w:val="a5"/>
        <w:tblW w:w="8897" w:type="dxa"/>
        <w:jc w:val="center"/>
        <w:tblLayout w:type="fixed"/>
        <w:tblLook w:val="04A0" w:firstRow="1" w:lastRow="0" w:firstColumn="1" w:lastColumn="0" w:noHBand="0" w:noVBand="1"/>
      </w:tblPr>
      <w:tblGrid>
        <w:gridCol w:w="1420"/>
        <w:gridCol w:w="1420"/>
        <w:gridCol w:w="1420"/>
        <w:gridCol w:w="1420"/>
        <w:gridCol w:w="1421"/>
        <w:gridCol w:w="1796"/>
      </w:tblGrid>
      <w:tr w:rsidR="005D192B" w:rsidRPr="005D192B" w:rsidTr="000C18D9">
        <w:trPr>
          <w:trHeight w:val="77"/>
          <w:jc w:val="center"/>
        </w:trPr>
        <w:tc>
          <w:tcPr>
            <w:tcW w:w="1420" w:type="dxa"/>
            <w:vMerge w:val="restart"/>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等级</w:t>
            </w:r>
          </w:p>
        </w:tc>
        <w:tc>
          <w:tcPr>
            <w:tcW w:w="7477" w:type="dxa"/>
            <w:gridSpan w:val="5"/>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标准</w:t>
            </w:r>
          </w:p>
        </w:tc>
      </w:tr>
      <w:tr w:rsidR="005D192B" w:rsidRPr="005D192B" w:rsidTr="005D192B">
        <w:trPr>
          <w:jc w:val="center"/>
        </w:trPr>
        <w:tc>
          <w:tcPr>
            <w:tcW w:w="1420" w:type="dxa"/>
            <w:vMerge/>
            <w:vAlign w:val="center"/>
          </w:tcPr>
          <w:p w:rsidR="005D192B" w:rsidRPr="005D192B" w:rsidRDefault="005D192B" w:rsidP="005D192B">
            <w:pPr>
              <w:jc w:val="center"/>
              <w:rPr>
                <w:rFonts w:asciiTheme="minorEastAsia" w:eastAsiaTheme="minorEastAsia" w:hAnsiTheme="minorEastAsia"/>
                <w:sz w:val="24"/>
                <w:szCs w:val="21"/>
              </w:rPr>
            </w:pP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A级</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B级</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C级</w:t>
            </w:r>
          </w:p>
        </w:tc>
        <w:tc>
          <w:tcPr>
            <w:tcW w:w="1421"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D级</w:t>
            </w:r>
          </w:p>
        </w:tc>
        <w:tc>
          <w:tcPr>
            <w:tcW w:w="1796"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特色项目</w:t>
            </w:r>
          </w:p>
        </w:tc>
      </w:tr>
      <w:tr w:rsidR="005D192B" w:rsidRPr="005D192B" w:rsidTr="005D192B">
        <w:trPr>
          <w:jc w:val="center"/>
        </w:trPr>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优秀</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≥32</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≤3</w:t>
            </w:r>
          </w:p>
        </w:tc>
        <w:tc>
          <w:tcPr>
            <w:tcW w:w="1421"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0</w:t>
            </w:r>
          </w:p>
        </w:tc>
        <w:tc>
          <w:tcPr>
            <w:tcW w:w="1796"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特色鲜明</w:t>
            </w:r>
          </w:p>
        </w:tc>
      </w:tr>
      <w:tr w:rsidR="005D192B" w:rsidRPr="005D192B" w:rsidTr="005D192B">
        <w:trPr>
          <w:jc w:val="center"/>
        </w:trPr>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良好</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≥25</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≥10</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p>
        </w:tc>
        <w:tc>
          <w:tcPr>
            <w:tcW w:w="1421"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≤2</w:t>
            </w:r>
          </w:p>
        </w:tc>
        <w:tc>
          <w:tcPr>
            <w:tcW w:w="1796"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有特色项目</w:t>
            </w:r>
          </w:p>
        </w:tc>
      </w:tr>
      <w:tr w:rsidR="005D192B" w:rsidRPr="005D192B" w:rsidTr="005D192B">
        <w:trPr>
          <w:jc w:val="center"/>
        </w:trPr>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合格</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≥15</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≥20</w:t>
            </w:r>
          </w:p>
        </w:tc>
        <w:tc>
          <w:tcPr>
            <w:tcW w:w="1420" w:type="dxa"/>
            <w:vAlign w:val="center"/>
          </w:tcPr>
          <w:p w:rsidR="005D192B" w:rsidRPr="005D192B" w:rsidRDefault="005D192B" w:rsidP="005D192B">
            <w:pPr>
              <w:jc w:val="center"/>
              <w:rPr>
                <w:rFonts w:asciiTheme="minorEastAsia" w:eastAsiaTheme="minorEastAsia" w:hAnsiTheme="minorEastAsia"/>
                <w:sz w:val="24"/>
                <w:szCs w:val="21"/>
              </w:rPr>
            </w:pPr>
          </w:p>
        </w:tc>
        <w:tc>
          <w:tcPr>
            <w:tcW w:w="1421"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≤3</w:t>
            </w:r>
          </w:p>
        </w:tc>
        <w:tc>
          <w:tcPr>
            <w:tcW w:w="1796" w:type="dxa"/>
            <w:vAlign w:val="center"/>
          </w:tcPr>
          <w:p w:rsidR="005D192B" w:rsidRPr="005D192B" w:rsidRDefault="005D192B" w:rsidP="005D192B">
            <w:pPr>
              <w:jc w:val="center"/>
              <w:rPr>
                <w:rFonts w:asciiTheme="minorEastAsia" w:eastAsiaTheme="minorEastAsia" w:hAnsiTheme="minorEastAsia"/>
                <w:sz w:val="24"/>
                <w:szCs w:val="21"/>
              </w:rPr>
            </w:pPr>
          </w:p>
        </w:tc>
      </w:tr>
      <w:tr w:rsidR="005D192B" w:rsidRPr="005D192B" w:rsidTr="005D192B">
        <w:trPr>
          <w:jc w:val="center"/>
        </w:trPr>
        <w:tc>
          <w:tcPr>
            <w:tcW w:w="1420" w:type="dxa"/>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不合格</w:t>
            </w:r>
          </w:p>
        </w:tc>
        <w:tc>
          <w:tcPr>
            <w:tcW w:w="7477" w:type="dxa"/>
            <w:gridSpan w:val="5"/>
            <w:vAlign w:val="center"/>
          </w:tcPr>
          <w:p w:rsidR="005D192B" w:rsidRPr="005D192B" w:rsidRDefault="005D192B" w:rsidP="005D192B">
            <w:pPr>
              <w:jc w:val="center"/>
              <w:rPr>
                <w:rFonts w:asciiTheme="minorEastAsia" w:eastAsiaTheme="minorEastAsia" w:hAnsiTheme="minorEastAsia"/>
                <w:sz w:val="24"/>
                <w:szCs w:val="21"/>
              </w:rPr>
            </w:pPr>
            <w:r w:rsidRPr="005D192B">
              <w:rPr>
                <w:rFonts w:asciiTheme="minorEastAsia" w:eastAsiaTheme="minorEastAsia" w:hAnsiTheme="minorEastAsia" w:hint="eastAsia"/>
                <w:sz w:val="24"/>
                <w:szCs w:val="21"/>
              </w:rPr>
              <w:t>低于合格标准者</w:t>
            </w:r>
          </w:p>
        </w:tc>
      </w:tr>
    </w:tbl>
    <w:p w:rsidR="000C18D9" w:rsidRDefault="000C18D9" w:rsidP="005D192B">
      <w:pPr>
        <w:jc w:val="left"/>
        <w:rPr>
          <w:rFonts w:asciiTheme="minorEastAsia" w:eastAsiaTheme="minorEastAsia" w:hAnsiTheme="minorEastAsia" w:hint="eastAsia"/>
          <w:sz w:val="24"/>
          <w:szCs w:val="21"/>
        </w:rPr>
      </w:pPr>
    </w:p>
    <w:p w:rsidR="002A6B7B" w:rsidRDefault="002A6B7B" w:rsidP="005D192B">
      <w:pPr>
        <w:jc w:val="left"/>
        <w:rPr>
          <w:rFonts w:asciiTheme="minorEastAsia" w:eastAsiaTheme="minorEastAsia" w:hAnsiTheme="minorEastAsia" w:hint="eastAsia"/>
          <w:sz w:val="24"/>
          <w:szCs w:val="21"/>
        </w:rPr>
      </w:pPr>
    </w:p>
    <w:p w:rsidR="002A6B7B" w:rsidRDefault="002A6B7B" w:rsidP="005D192B">
      <w:pPr>
        <w:jc w:val="left"/>
        <w:rPr>
          <w:rFonts w:asciiTheme="minorEastAsia" w:eastAsiaTheme="minorEastAsia" w:hAnsiTheme="minorEastAsia" w:hint="eastAsia"/>
          <w:sz w:val="24"/>
          <w:szCs w:val="21"/>
        </w:rPr>
      </w:pPr>
      <w:bookmarkStart w:id="8" w:name="_GoBack"/>
      <w:bookmarkEnd w:id="8"/>
    </w:p>
    <w:p w:rsidR="002A6B7B" w:rsidRDefault="002A6B7B" w:rsidP="005D192B">
      <w:pPr>
        <w:jc w:val="left"/>
        <w:rPr>
          <w:rFonts w:asciiTheme="minorEastAsia" w:eastAsiaTheme="minorEastAsia" w:hAnsiTheme="minorEastAsia" w:hint="eastAsia"/>
          <w:sz w:val="24"/>
          <w:szCs w:val="21"/>
        </w:rPr>
      </w:pPr>
    </w:p>
    <w:p w:rsidR="002A6B7B" w:rsidRPr="004651F0" w:rsidRDefault="002A6B7B" w:rsidP="002A6B7B">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昆明学院本科专业评估指标体系观测点等级 统计汇总表</w:t>
      </w:r>
    </w:p>
    <w:tbl>
      <w:tblPr>
        <w:tblStyle w:val="a5"/>
        <w:tblW w:w="10226" w:type="dxa"/>
        <w:jc w:val="center"/>
        <w:tblInd w:w="4728" w:type="dxa"/>
        <w:tblLayout w:type="fixed"/>
        <w:tblLook w:val="04A0" w:firstRow="1" w:lastRow="0" w:firstColumn="1" w:lastColumn="0" w:noHBand="0" w:noVBand="1"/>
      </w:tblPr>
      <w:tblGrid>
        <w:gridCol w:w="2749"/>
        <w:gridCol w:w="1420"/>
        <w:gridCol w:w="1420"/>
        <w:gridCol w:w="1420"/>
        <w:gridCol w:w="1421"/>
        <w:gridCol w:w="1796"/>
      </w:tblGrid>
      <w:tr w:rsidR="002A6B7B" w:rsidRPr="004651F0" w:rsidTr="009C3C57">
        <w:trPr>
          <w:trHeight w:val="77"/>
          <w:jc w:val="center"/>
        </w:trPr>
        <w:tc>
          <w:tcPr>
            <w:tcW w:w="2749" w:type="dxa"/>
            <w:vMerge w:val="restart"/>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7477" w:type="dxa"/>
            <w:gridSpan w:val="5"/>
            <w:vAlign w:val="center"/>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标准</w:t>
            </w:r>
          </w:p>
        </w:tc>
      </w:tr>
      <w:tr w:rsidR="002A6B7B" w:rsidRPr="004651F0" w:rsidTr="009C3C57">
        <w:trPr>
          <w:jc w:val="center"/>
        </w:trPr>
        <w:tc>
          <w:tcPr>
            <w:tcW w:w="2749" w:type="dxa"/>
            <w:vMerge/>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A级</w:t>
            </w: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B级</w:t>
            </w: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C级</w:t>
            </w:r>
          </w:p>
        </w:tc>
        <w:tc>
          <w:tcPr>
            <w:tcW w:w="1421"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D级</w:t>
            </w:r>
          </w:p>
        </w:tc>
        <w:tc>
          <w:tcPr>
            <w:tcW w:w="1796"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特色项目</w:t>
            </w:r>
          </w:p>
        </w:tc>
      </w:tr>
      <w:tr w:rsidR="002A6B7B" w:rsidRPr="004651F0" w:rsidTr="009C3C57">
        <w:trPr>
          <w:jc w:val="center"/>
        </w:trPr>
        <w:tc>
          <w:tcPr>
            <w:tcW w:w="2749" w:type="dxa"/>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自评等级</w:t>
            </w: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421"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796"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r>
      <w:tr w:rsidR="002A6B7B" w:rsidRPr="004651F0" w:rsidTr="009C3C57">
        <w:trPr>
          <w:jc w:val="center"/>
        </w:trPr>
        <w:tc>
          <w:tcPr>
            <w:tcW w:w="2749" w:type="dxa"/>
          </w:tcPr>
          <w:p w:rsidR="002A6B7B" w:rsidRPr="004651F0" w:rsidRDefault="002A6B7B" w:rsidP="009C3C57">
            <w:pPr>
              <w:spacing w:line="0" w:lineRule="atLeast"/>
              <w:jc w:val="center"/>
              <w:rPr>
                <w:rFonts w:asciiTheme="minorEastAsia" w:eastAsiaTheme="minorEastAsia" w:hAnsiTheme="minorEastAsia"/>
                <w:sz w:val="32"/>
                <w:szCs w:val="28"/>
              </w:rPr>
            </w:pPr>
            <w:r w:rsidRPr="004651F0">
              <w:rPr>
                <w:rFonts w:asciiTheme="minorEastAsia" w:eastAsiaTheme="minorEastAsia" w:hAnsiTheme="minorEastAsia" w:hint="eastAsia"/>
                <w:sz w:val="32"/>
                <w:szCs w:val="28"/>
              </w:rPr>
              <w:t>专家评审等级</w:t>
            </w: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420"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421"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c>
          <w:tcPr>
            <w:tcW w:w="1796" w:type="dxa"/>
            <w:vAlign w:val="center"/>
          </w:tcPr>
          <w:p w:rsidR="002A6B7B" w:rsidRPr="004651F0" w:rsidRDefault="002A6B7B" w:rsidP="009C3C57">
            <w:pPr>
              <w:spacing w:line="0" w:lineRule="atLeast"/>
              <w:jc w:val="center"/>
              <w:rPr>
                <w:rFonts w:asciiTheme="minorEastAsia" w:eastAsiaTheme="minorEastAsia" w:hAnsiTheme="minorEastAsia"/>
                <w:sz w:val="32"/>
                <w:szCs w:val="28"/>
              </w:rPr>
            </w:pPr>
          </w:p>
        </w:tc>
      </w:tr>
    </w:tbl>
    <w:p w:rsidR="002A6B7B" w:rsidRDefault="002A6B7B" w:rsidP="005D192B">
      <w:pPr>
        <w:jc w:val="left"/>
        <w:rPr>
          <w:rFonts w:asciiTheme="minorEastAsia" w:eastAsiaTheme="minorEastAsia" w:hAnsiTheme="minorEastAsia" w:hint="eastAsia"/>
          <w:sz w:val="24"/>
          <w:szCs w:val="21"/>
        </w:rPr>
      </w:pPr>
    </w:p>
    <w:sectPr w:rsidR="002A6B7B">
      <w:footerReference w:type="default" r:id="rId8"/>
      <w:pgSz w:w="16838" w:h="11906" w:orient="landscape"/>
      <w:pgMar w:top="1134" w:right="1134" w:bottom="113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C0A" w:rsidRDefault="00717C0A">
      <w:r>
        <w:separator/>
      </w:r>
    </w:p>
  </w:endnote>
  <w:endnote w:type="continuationSeparator" w:id="0">
    <w:p w:rsidR="00717C0A" w:rsidRDefault="0071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2925"/>
      <w:docPartObj>
        <w:docPartGallery w:val="AutoText"/>
      </w:docPartObj>
    </w:sdtPr>
    <w:sdtEndPr/>
    <w:sdtContent>
      <w:p w:rsidR="00C92935" w:rsidRDefault="00785CF2">
        <w:pPr>
          <w:pStyle w:val="a3"/>
          <w:jc w:val="right"/>
        </w:pPr>
        <w:r>
          <w:fldChar w:fldCharType="begin"/>
        </w:r>
        <w:r>
          <w:instrText>PAGE   \* MERGEFORMAT</w:instrText>
        </w:r>
        <w:r>
          <w:fldChar w:fldCharType="separate"/>
        </w:r>
        <w:r w:rsidR="00717C0A" w:rsidRPr="00717C0A">
          <w:rPr>
            <w:noProof/>
            <w:lang w:val="zh-CN"/>
          </w:rPr>
          <w:t>1</w:t>
        </w:r>
        <w:r>
          <w:fldChar w:fldCharType="end"/>
        </w:r>
      </w:p>
    </w:sdtContent>
  </w:sdt>
  <w:p w:rsidR="00C92935" w:rsidRDefault="00C929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C0A" w:rsidRDefault="00717C0A">
      <w:r>
        <w:separator/>
      </w:r>
    </w:p>
  </w:footnote>
  <w:footnote w:type="continuationSeparator" w:id="0">
    <w:p w:rsidR="00717C0A" w:rsidRDefault="00717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84"/>
    <w:rsid w:val="00000934"/>
    <w:rsid w:val="00003C7F"/>
    <w:rsid w:val="00004F8B"/>
    <w:rsid w:val="000055B3"/>
    <w:rsid w:val="00006062"/>
    <w:rsid w:val="0000690F"/>
    <w:rsid w:val="000118FB"/>
    <w:rsid w:val="00012DE6"/>
    <w:rsid w:val="00017244"/>
    <w:rsid w:val="00020BA5"/>
    <w:rsid w:val="00020C5D"/>
    <w:rsid w:val="000219D6"/>
    <w:rsid w:val="00032621"/>
    <w:rsid w:val="00037B6F"/>
    <w:rsid w:val="00037CE5"/>
    <w:rsid w:val="000423CB"/>
    <w:rsid w:val="000456B5"/>
    <w:rsid w:val="00047E99"/>
    <w:rsid w:val="00052798"/>
    <w:rsid w:val="000547BF"/>
    <w:rsid w:val="00055EF9"/>
    <w:rsid w:val="0006257A"/>
    <w:rsid w:val="0006578B"/>
    <w:rsid w:val="000717D2"/>
    <w:rsid w:val="0007511F"/>
    <w:rsid w:val="000766AA"/>
    <w:rsid w:val="00085875"/>
    <w:rsid w:val="000948C4"/>
    <w:rsid w:val="000966DD"/>
    <w:rsid w:val="00097B5A"/>
    <w:rsid w:val="000A191A"/>
    <w:rsid w:val="000A3158"/>
    <w:rsid w:val="000A7EDE"/>
    <w:rsid w:val="000B298F"/>
    <w:rsid w:val="000B3992"/>
    <w:rsid w:val="000B76E1"/>
    <w:rsid w:val="000C139E"/>
    <w:rsid w:val="000C18D9"/>
    <w:rsid w:val="000C220D"/>
    <w:rsid w:val="000C3F93"/>
    <w:rsid w:val="000C5E34"/>
    <w:rsid w:val="000D0F4F"/>
    <w:rsid w:val="000D47C2"/>
    <w:rsid w:val="000E282D"/>
    <w:rsid w:val="000E2B57"/>
    <w:rsid w:val="000F7094"/>
    <w:rsid w:val="001024A2"/>
    <w:rsid w:val="001034AC"/>
    <w:rsid w:val="00104409"/>
    <w:rsid w:val="00104D3C"/>
    <w:rsid w:val="00115A15"/>
    <w:rsid w:val="00120FFE"/>
    <w:rsid w:val="00121F8D"/>
    <w:rsid w:val="00124D38"/>
    <w:rsid w:val="00124ED4"/>
    <w:rsid w:val="0012698C"/>
    <w:rsid w:val="001300BA"/>
    <w:rsid w:val="00130613"/>
    <w:rsid w:val="00135E14"/>
    <w:rsid w:val="001375DC"/>
    <w:rsid w:val="00141539"/>
    <w:rsid w:val="00144372"/>
    <w:rsid w:val="0016218B"/>
    <w:rsid w:val="00165D7E"/>
    <w:rsid w:val="00166D73"/>
    <w:rsid w:val="00167397"/>
    <w:rsid w:val="001700AA"/>
    <w:rsid w:val="00170540"/>
    <w:rsid w:val="0017062E"/>
    <w:rsid w:val="00176691"/>
    <w:rsid w:val="00185FE6"/>
    <w:rsid w:val="00191F0C"/>
    <w:rsid w:val="001A6E3F"/>
    <w:rsid w:val="001B5DBE"/>
    <w:rsid w:val="001B6C8D"/>
    <w:rsid w:val="001C01D6"/>
    <w:rsid w:val="001C198E"/>
    <w:rsid w:val="001C36FE"/>
    <w:rsid w:val="001C72F9"/>
    <w:rsid w:val="001D0F4C"/>
    <w:rsid w:val="001D1ED8"/>
    <w:rsid w:val="001E11B7"/>
    <w:rsid w:val="001E1F2B"/>
    <w:rsid w:val="001F5B1C"/>
    <w:rsid w:val="00210C19"/>
    <w:rsid w:val="002126E5"/>
    <w:rsid w:val="002167B0"/>
    <w:rsid w:val="00221E84"/>
    <w:rsid w:val="0022351F"/>
    <w:rsid w:val="00225254"/>
    <w:rsid w:val="002308CF"/>
    <w:rsid w:val="00231BC9"/>
    <w:rsid w:val="00237449"/>
    <w:rsid w:val="002419AD"/>
    <w:rsid w:val="002419F4"/>
    <w:rsid w:val="00242087"/>
    <w:rsid w:val="00244604"/>
    <w:rsid w:val="00244DAF"/>
    <w:rsid w:val="002463BD"/>
    <w:rsid w:val="00252602"/>
    <w:rsid w:val="00252725"/>
    <w:rsid w:val="00253591"/>
    <w:rsid w:val="00253A25"/>
    <w:rsid w:val="002634F8"/>
    <w:rsid w:val="002642EE"/>
    <w:rsid w:val="00264423"/>
    <w:rsid w:val="00267C12"/>
    <w:rsid w:val="00270B20"/>
    <w:rsid w:val="00274349"/>
    <w:rsid w:val="0027509A"/>
    <w:rsid w:val="0027598C"/>
    <w:rsid w:val="00276718"/>
    <w:rsid w:val="00281592"/>
    <w:rsid w:val="00282919"/>
    <w:rsid w:val="00284B1E"/>
    <w:rsid w:val="002854BD"/>
    <w:rsid w:val="00290F4A"/>
    <w:rsid w:val="00293512"/>
    <w:rsid w:val="0029481F"/>
    <w:rsid w:val="002A0353"/>
    <w:rsid w:val="002A120D"/>
    <w:rsid w:val="002A441B"/>
    <w:rsid w:val="002A5027"/>
    <w:rsid w:val="002A6B7B"/>
    <w:rsid w:val="002C5503"/>
    <w:rsid w:val="002C64A3"/>
    <w:rsid w:val="002C7B17"/>
    <w:rsid w:val="002D1446"/>
    <w:rsid w:val="002D62D6"/>
    <w:rsid w:val="002E2B2F"/>
    <w:rsid w:val="002E3E04"/>
    <w:rsid w:val="002F2AA8"/>
    <w:rsid w:val="002F3470"/>
    <w:rsid w:val="002F3954"/>
    <w:rsid w:val="002F407F"/>
    <w:rsid w:val="002F5A31"/>
    <w:rsid w:val="00302585"/>
    <w:rsid w:val="00303126"/>
    <w:rsid w:val="00303C96"/>
    <w:rsid w:val="00305C4D"/>
    <w:rsid w:val="003126BC"/>
    <w:rsid w:val="00314F58"/>
    <w:rsid w:val="003207D4"/>
    <w:rsid w:val="00323475"/>
    <w:rsid w:val="00324293"/>
    <w:rsid w:val="00331DFA"/>
    <w:rsid w:val="003320BD"/>
    <w:rsid w:val="00333578"/>
    <w:rsid w:val="0033477E"/>
    <w:rsid w:val="0033493C"/>
    <w:rsid w:val="003411C3"/>
    <w:rsid w:val="003429D9"/>
    <w:rsid w:val="003430A3"/>
    <w:rsid w:val="00344812"/>
    <w:rsid w:val="00345D72"/>
    <w:rsid w:val="003461F8"/>
    <w:rsid w:val="003474D3"/>
    <w:rsid w:val="003519DE"/>
    <w:rsid w:val="003522BF"/>
    <w:rsid w:val="003569C4"/>
    <w:rsid w:val="00361474"/>
    <w:rsid w:val="00362243"/>
    <w:rsid w:val="00363E3C"/>
    <w:rsid w:val="003705C4"/>
    <w:rsid w:val="00381D13"/>
    <w:rsid w:val="00383764"/>
    <w:rsid w:val="003875D1"/>
    <w:rsid w:val="00393537"/>
    <w:rsid w:val="0039554C"/>
    <w:rsid w:val="003A03A7"/>
    <w:rsid w:val="003A121F"/>
    <w:rsid w:val="003A14FF"/>
    <w:rsid w:val="003A29C4"/>
    <w:rsid w:val="003A777C"/>
    <w:rsid w:val="003A7DB6"/>
    <w:rsid w:val="003B0148"/>
    <w:rsid w:val="003B07EE"/>
    <w:rsid w:val="003B3346"/>
    <w:rsid w:val="003C1DA1"/>
    <w:rsid w:val="003E2794"/>
    <w:rsid w:val="003E42B5"/>
    <w:rsid w:val="003E77D9"/>
    <w:rsid w:val="003E7AA7"/>
    <w:rsid w:val="00406863"/>
    <w:rsid w:val="00410002"/>
    <w:rsid w:val="00412A70"/>
    <w:rsid w:val="004134B1"/>
    <w:rsid w:val="00415BA5"/>
    <w:rsid w:val="00420A53"/>
    <w:rsid w:val="00420E35"/>
    <w:rsid w:val="00421B18"/>
    <w:rsid w:val="0042334D"/>
    <w:rsid w:val="004243A7"/>
    <w:rsid w:val="00427C83"/>
    <w:rsid w:val="00441ABE"/>
    <w:rsid w:val="00452FB2"/>
    <w:rsid w:val="004538F4"/>
    <w:rsid w:val="00455889"/>
    <w:rsid w:val="004559CB"/>
    <w:rsid w:val="00457A5A"/>
    <w:rsid w:val="004651F0"/>
    <w:rsid w:val="00466072"/>
    <w:rsid w:val="00471EC2"/>
    <w:rsid w:val="00472168"/>
    <w:rsid w:val="00472561"/>
    <w:rsid w:val="004756EC"/>
    <w:rsid w:val="00476B16"/>
    <w:rsid w:val="0048036B"/>
    <w:rsid w:val="00482B2F"/>
    <w:rsid w:val="004843DB"/>
    <w:rsid w:val="00486F1E"/>
    <w:rsid w:val="00491547"/>
    <w:rsid w:val="00491F3E"/>
    <w:rsid w:val="004A4F7A"/>
    <w:rsid w:val="004A7724"/>
    <w:rsid w:val="004A79D3"/>
    <w:rsid w:val="004B18CB"/>
    <w:rsid w:val="004B631B"/>
    <w:rsid w:val="004C1064"/>
    <w:rsid w:val="004C5645"/>
    <w:rsid w:val="004C586B"/>
    <w:rsid w:val="004C6EEF"/>
    <w:rsid w:val="004C7B07"/>
    <w:rsid w:val="004D00A2"/>
    <w:rsid w:val="004D4E6B"/>
    <w:rsid w:val="004D65C1"/>
    <w:rsid w:val="004E00FA"/>
    <w:rsid w:val="004E098B"/>
    <w:rsid w:val="004F11F8"/>
    <w:rsid w:val="004F27E1"/>
    <w:rsid w:val="004F684F"/>
    <w:rsid w:val="004F7E7E"/>
    <w:rsid w:val="005014A2"/>
    <w:rsid w:val="00510A83"/>
    <w:rsid w:val="00514BC9"/>
    <w:rsid w:val="00516D65"/>
    <w:rsid w:val="00517C3B"/>
    <w:rsid w:val="00524E20"/>
    <w:rsid w:val="00525E10"/>
    <w:rsid w:val="005278E1"/>
    <w:rsid w:val="0053000F"/>
    <w:rsid w:val="005317FA"/>
    <w:rsid w:val="00537827"/>
    <w:rsid w:val="005412A7"/>
    <w:rsid w:val="00542AAA"/>
    <w:rsid w:val="0054471D"/>
    <w:rsid w:val="00547CB9"/>
    <w:rsid w:val="00555068"/>
    <w:rsid w:val="0056256E"/>
    <w:rsid w:val="00576B8D"/>
    <w:rsid w:val="00581909"/>
    <w:rsid w:val="005828F4"/>
    <w:rsid w:val="00583167"/>
    <w:rsid w:val="0059078C"/>
    <w:rsid w:val="00597842"/>
    <w:rsid w:val="005A1590"/>
    <w:rsid w:val="005A36B2"/>
    <w:rsid w:val="005A416F"/>
    <w:rsid w:val="005B2C10"/>
    <w:rsid w:val="005C62CC"/>
    <w:rsid w:val="005D11F3"/>
    <w:rsid w:val="005D192B"/>
    <w:rsid w:val="005D1E4F"/>
    <w:rsid w:val="005D247D"/>
    <w:rsid w:val="005D444F"/>
    <w:rsid w:val="005D48B4"/>
    <w:rsid w:val="005E1390"/>
    <w:rsid w:val="005E70B8"/>
    <w:rsid w:val="006006CE"/>
    <w:rsid w:val="006009A6"/>
    <w:rsid w:val="00600FE9"/>
    <w:rsid w:val="006134FE"/>
    <w:rsid w:val="00621181"/>
    <w:rsid w:val="00623D03"/>
    <w:rsid w:val="006307BB"/>
    <w:rsid w:val="00642376"/>
    <w:rsid w:val="00650DFB"/>
    <w:rsid w:val="00651E40"/>
    <w:rsid w:val="0065665F"/>
    <w:rsid w:val="0065742D"/>
    <w:rsid w:val="00661A88"/>
    <w:rsid w:val="00663980"/>
    <w:rsid w:val="00663A1D"/>
    <w:rsid w:val="00674DC6"/>
    <w:rsid w:val="00674E7D"/>
    <w:rsid w:val="00676BF9"/>
    <w:rsid w:val="00677D10"/>
    <w:rsid w:val="0068245D"/>
    <w:rsid w:val="006833EA"/>
    <w:rsid w:val="00683F87"/>
    <w:rsid w:val="006851A1"/>
    <w:rsid w:val="00685A6E"/>
    <w:rsid w:val="00687E98"/>
    <w:rsid w:val="00693B4D"/>
    <w:rsid w:val="006A79BD"/>
    <w:rsid w:val="006B3FBB"/>
    <w:rsid w:val="006B556E"/>
    <w:rsid w:val="006C0A00"/>
    <w:rsid w:val="006C11BC"/>
    <w:rsid w:val="006D2527"/>
    <w:rsid w:val="006D4791"/>
    <w:rsid w:val="006E2909"/>
    <w:rsid w:val="006E4AF5"/>
    <w:rsid w:val="006E7167"/>
    <w:rsid w:val="006F7337"/>
    <w:rsid w:val="00706227"/>
    <w:rsid w:val="00710EDB"/>
    <w:rsid w:val="00717C0A"/>
    <w:rsid w:val="00717C17"/>
    <w:rsid w:val="00720C10"/>
    <w:rsid w:val="007256CE"/>
    <w:rsid w:val="00725D56"/>
    <w:rsid w:val="00727948"/>
    <w:rsid w:val="007279EF"/>
    <w:rsid w:val="00727DF1"/>
    <w:rsid w:val="00732752"/>
    <w:rsid w:val="0073698A"/>
    <w:rsid w:val="00740742"/>
    <w:rsid w:val="0074187A"/>
    <w:rsid w:val="007442CA"/>
    <w:rsid w:val="00744CDD"/>
    <w:rsid w:val="0075334B"/>
    <w:rsid w:val="00754C82"/>
    <w:rsid w:val="00764F6C"/>
    <w:rsid w:val="00770DD1"/>
    <w:rsid w:val="0077196B"/>
    <w:rsid w:val="0077294F"/>
    <w:rsid w:val="0077514E"/>
    <w:rsid w:val="00776340"/>
    <w:rsid w:val="00777162"/>
    <w:rsid w:val="00783961"/>
    <w:rsid w:val="00783AFB"/>
    <w:rsid w:val="007849F8"/>
    <w:rsid w:val="00785CF2"/>
    <w:rsid w:val="00786876"/>
    <w:rsid w:val="00795041"/>
    <w:rsid w:val="007A1954"/>
    <w:rsid w:val="007A73DA"/>
    <w:rsid w:val="007B2431"/>
    <w:rsid w:val="007C3403"/>
    <w:rsid w:val="007D1E49"/>
    <w:rsid w:val="007D27C5"/>
    <w:rsid w:val="007D313A"/>
    <w:rsid w:val="007D37A2"/>
    <w:rsid w:val="007E025D"/>
    <w:rsid w:val="007E0F6F"/>
    <w:rsid w:val="007E24BA"/>
    <w:rsid w:val="007E64FA"/>
    <w:rsid w:val="007E6A95"/>
    <w:rsid w:val="007F1510"/>
    <w:rsid w:val="007F72EE"/>
    <w:rsid w:val="007F7E4F"/>
    <w:rsid w:val="0080108D"/>
    <w:rsid w:val="00804054"/>
    <w:rsid w:val="0080729E"/>
    <w:rsid w:val="00810416"/>
    <w:rsid w:val="00813C77"/>
    <w:rsid w:val="00814F07"/>
    <w:rsid w:val="00817B24"/>
    <w:rsid w:val="008227FD"/>
    <w:rsid w:val="00824AA8"/>
    <w:rsid w:val="00836714"/>
    <w:rsid w:val="008507CA"/>
    <w:rsid w:val="00864F59"/>
    <w:rsid w:val="00865645"/>
    <w:rsid w:val="00870DEB"/>
    <w:rsid w:val="00877F14"/>
    <w:rsid w:val="00882E56"/>
    <w:rsid w:val="008839A4"/>
    <w:rsid w:val="0088692E"/>
    <w:rsid w:val="00890802"/>
    <w:rsid w:val="00892473"/>
    <w:rsid w:val="00895069"/>
    <w:rsid w:val="008A06D2"/>
    <w:rsid w:val="008A28D5"/>
    <w:rsid w:val="008A2C19"/>
    <w:rsid w:val="008A4DBE"/>
    <w:rsid w:val="008A5C9E"/>
    <w:rsid w:val="008B1056"/>
    <w:rsid w:val="008B31EA"/>
    <w:rsid w:val="008B4F1C"/>
    <w:rsid w:val="008B5410"/>
    <w:rsid w:val="008B7A83"/>
    <w:rsid w:val="008C12FC"/>
    <w:rsid w:val="008C5A9D"/>
    <w:rsid w:val="008C7F15"/>
    <w:rsid w:val="008D233B"/>
    <w:rsid w:val="008D5C39"/>
    <w:rsid w:val="008D7DE5"/>
    <w:rsid w:val="008E1114"/>
    <w:rsid w:val="008E621D"/>
    <w:rsid w:val="008E668C"/>
    <w:rsid w:val="008F1F3C"/>
    <w:rsid w:val="008F27AB"/>
    <w:rsid w:val="008F4AB0"/>
    <w:rsid w:val="008F50BC"/>
    <w:rsid w:val="009071D8"/>
    <w:rsid w:val="00913745"/>
    <w:rsid w:val="00913D5B"/>
    <w:rsid w:val="0091798F"/>
    <w:rsid w:val="00921117"/>
    <w:rsid w:val="009235F6"/>
    <w:rsid w:val="00926044"/>
    <w:rsid w:val="00926809"/>
    <w:rsid w:val="00926E76"/>
    <w:rsid w:val="00931525"/>
    <w:rsid w:val="00931DC2"/>
    <w:rsid w:val="009364A5"/>
    <w:rsid w:val="009422C9"/>
    <w:rsid w:val="0095255E"/>
    <w:rsid w:val="009576FC"/>
    <w:rsid w:val="0096192A"/>
    <w:rsid w:val="009628B6"/>
    <w:rsid w:val="00965C62"/>
    <w:rsid w:val="00967402"/>
    <w:rsid w:val="009730B6"/>
    <w:rsid w:val="00973213"/>
    <w:rsid w:val="0098609C"/>
    <w:rsid w:val="009877B2"/>
    <w:rsid w:val="009979B0"/>
    <w:rsid w:val="009A44E6"/>
    <w:rsid w:val="009B2462"/>
    <w:rsid w:val="009B2CE4"/>
    <w:rsid w:val="009B5EB5"/>
    <w:rsid w:val="009C524C"/>
    <w:rsid w:val="009E1DA0"/>
    <w:rsid w:val="009E24E6"/>
    <w:rsid w:val="009E5639"/>
    <w:rsid w:val="009F2F2F"/>
    <w:rsid w:val="009F34D7"/>
    <w:rsid w:val="009F6ECB"/>
    <w:rsid w:val="009F76AC"/>
    <w:rsid w:val="00A10DE7"/>
    <w:rsid w:val="00A229A8"/>
    <w:rsid w:val="00A22C88"/>
    <w:rsid w:val="00A254A1"/>
    <w:rsid w:val="00A30BC0"/>
    <w:rsid w:val="00A338C4"/>
    <w:rsid w:val="00A41963"/>
    <w:rsid w:val="00A41AE2"/>
    <w:rsid w:val="00A41E86"/>
    <w:rsid w:val="00A4270D"/>
    <w:rsid w:val="00A43909"/>
    <w:rsid w:val="00A5753F"/>
    <w:rsid w:val="00A63D08"/>
    <w:rsid w:val="00A662EA"/>
    <w:rsid w:val="00A713B7"/>
    <w:rsid w:val="00A716B8"/>
    <w:rsid w:val="00A71E1A"/>
    <w:rsid w:val="00A73DA3"/>
    <w:rsid w:val="00A740FE"/>
    <w:rsid w:val="00A7705F"/>
    <w:rsid w:val="00A770AA"/>
    <w:rsid w:val="00A80245"/>
    <w:rsid w:val="00A81723"/>
    <w:rsid w:val="00A9465B"/>
    <w:rsid w:val="00A975B3"/>
    <w:rsid w:val="00AA009F"/>
    <w:rsid w:val="00AA66C0"/>
    <w:rsid w:val="00AB6A14"/>
    <w:rsid w:val="00AC25BF"/>
    <w:rsid w:val="00AC3D4A"/>
    <w:rsid w:val="00AD0BAC"/>
    <w:rsid w:val="00AD396A"/>
    <w:rsid w:val="00AD7DB8"/>
    <w:rsid w:val="00AE10AA"/>
    <w:rsid w:val="00AE67D0"/>
    <w:rsid w:val="00AE6BCB"/>
    <w:rsid w:val="00AE7453"/>
    <w:rsid w:val="00AF5958"/>
    <w:rsid w:val="00AF7094"/>
    <w:rsid w:val="00AF7A51"/>
    <w:rsid w:val="00B115E4"/>
    <w:rsid w:val="00B14D6A"/>
    <w:rsid w:val="00B22584"/>
    <w:rsid w:val="00B2361C"/>
    <w:rsid w:val="00B250D0"/>
    <w:rsid w:val="00B25E95"/>
    <w:rsid w:val="00B30235"/>
    <w:rsid w:val="00B3362D"/>
    <w:rsid w:val="00B37376"/>
    <w:rsid w:val="00B42F96"/>
    <w:rsid w:val="00B46C44"/>
    <w:rsid w:val="00B46F84"/>
    <w:rsid w:val="00B51171"/>
    <w:rsid w:val="00B5368C"/>
    <w:rsid w:val="00B55A11"/>
    <w:rsid w:val="00B67D3A"/>
    <w:rsid w:val="00B762E5"/>
    <w:rsid w:val="00B8037A"/>
    <w:rsid w:val="00B85A41"/>
    <w:rsid w:val="00B86E69"/>
    <w:rsid w:val="00B97341"/>
    <w:rsid w:val="00BA297F"/>
    <w:rsid w:val="00BA4F57"/>
    <w:rsid w:val="00BA5C20"/>
    <w:rsid w:val="00BA6C76"/>
    <w:rsid w:val="00BA7928"/>
    <w:rsid w:val="00BB2647"/>
    <w:rsid w:val="00BB3761"/>
    <w:rsid w:val="00BB413F"/>
    <w:rsid w:val="00BC2162"/>
    <w:rsid w:val="00BD3D76"/>
    <w:rsid w:val="00BD4CB7"/>
    <w:rsid w:val="00BE1B1C"/>
    <w:rsid w:val="00BE31F2"/>
    <w:rsid w:val="00BF788F"/>
    <w:rsid w:val="00C01180"/>
    <w:rsid w:val="00C02B58"/>
    <w:rsid w:val="00C121FE"/>
    <w:rsid w:val="00C1328C"/>
    <w:rsid w:val="00C14DAD"/>
    <w:rsid w:val="00C170C6"/>
    <w:rsid w:val="00C17CF1"/>
    <w:rsid w:val="00C214BC"/>
    <w:rsid w:val="00C21E24"/>
    <w:rsid w:val="00C222D4"/>
    <w:rsid w:val="00C22E47"/>
    <w:rsid w:val="00C25144"/>
    <w:rsid w:val="00C2709E"/>
    <w:rsid w:val="00C3279D"/>
    <w:rsid w:val="00C34032"/>
    <w:rsid w:val="00C34364"/>
    <w:rsid w:val="00C34AE5"/>
    <w:rsid w:val="00C407A4"/>
    <w:rsid w:val="00C445A4"/>
    <w:rsid w:val="00C4623A"/>
    <w:rsid w:val="00C4666E"/>
    <w:rsid w:val="00C46D3E"/>
    <w:rsid w:val="00C47FCA"/>
    <w:rsid w:val="00C521B2"/>
    <w:rsid w:val="00C53950"/>
    <w:rsid w:val="00C53A20"/>
    <w:rsid w:val="00C5647F"/>
    <w:rsid w:val="00C57F55"/>
    <w:rsid w:val="00C63E1D"/>
    <w:rsid w:val="00C653FB"/>
    <w:rsid w:val="00C678C2"/>
    <w:rsid w:val="00C732A5"/>
    <w:rsid w:val="00C7507C"/>
    <w:rsid w:val="00C75745"/>
    <w:rsid w:val="00C762D0"/>
    <w:rsid w:val="00C763A4"/>
    <w:rsid w:val="00C80870"/>
    <w:rsid w:val="00C825B3"/>
    <w:rsid w:val="00C84A81"/>
    <w:rsid w:val="00C86BE3"/>
    <w:rsid w:val="00C87AAA"/>
    <w:rsid w:val="00C92626"/>
    <w:rsid w:val="00C92935"/>
    <w:rsid w:val="00C93C5E"/>
    <w:rsid w:val="00C93D4F"/>
    <w:rsid w:val="00C9702E"/>
    <w:rsid w:val="00CA760F"/>
    <w:rsid w:val="00CB0BAA"/>
    <w:rsid w:val="00CB208B"/>
    <w:rsid w:val="00CB56BB"/>
    <w:rsid w:val="00CC6C07"/>
    <w:rsid w:val="00CD260A"/>
    <w:rsid w:val="00CE2F86"/>
    <w:rsid w:val="00CE70F1"/>
    <w:rsid w:val="00CE78A3"/>
    <w:rsid w:val="00CF3E3C"/>
    <w:rsid w:val="00CF419C"/>
    <w:rsid w:val="00CF60AC"/>
    <w:rsid w:val="00D01D3E"/>
    <w:rsid w:val="00D04BCD"/>
    <w:rsid w:val="00D04D23"/>
    <w:rsid w:val="00D065B1"/>
    <w:rsid w:val="00D12D49"/>
    <w:rsid w:val="00D16A5D"/>
    <w:rsid w:val="00D17F68"/>
    <w:rsid w:val="00D210E5"/>
    <w:rsid w:val="00D2176E"/>
    <w:rsid w:val="00D267EE"/>
    <w:rsid w:val="00D2708A"/>
    <w:rsid w:val="00D32E35"/>
    <w:rsid w:val="00D34116"/>
    <w:rsid w:val="00D3631A"/>
    <w:rsid w:val="00D366B5"/>
    <w:rsid w:val="00D36BDA"/>
    <w:rsid w:val="00D36C95"/>
    <w:rsid w:val="00D36E25"/>
    <w:rsid w:val="00D37484"/>
    <w:rsid w:val="00D37FF4"/>
    <w:rsid w:val="00D42D63"/>
    <w:rsid w:val="00D46CBF"/>
    <w:rsid w:val="00D5093C"/>
    <w:rsid w:val="00D53F21"/>
    <w:rsid w:val="00D56078"/>
    <w:rsid w:val="00D578D5"/>
    <w:rsid w:val="00D61BDB"/>
    <w:rsid w:val="00D621F2"/>
    <w:rsid w:val="00D628BA"/>
    <w:rsid w:val="00D63576"/>
    <w:rsid w:val="00D63CBE"/>
    <w:rsid w:val="00D658CE"/>
    <w:rsid w:val="00D67C5F"/>
    <w:rsid w:val="00D70E73"/>
    <w:rsid w:val="00D70EA3"/>
    <w:rsid w:val="00D732C3"/>
    <w:rsid w:val="00D81196"/>
    <w:rsid w:val="00D856EF"/>
    <w:rsid w:val="00D93493"/>
    <w:rsid w:val="00D95878"/>
    <w:rsid w:val="00D95BBF"/>
    <w:rsid w:val="00D97D69"/>
    <w:rsid w:val="00DA1982"/>
    <w:rsid w:val="00DA1EF2"/>
    <w:rsid w:val="00DA2B3C"/>
    <w:rsid w:val="00DA53B6"/>
    <w:rsid w:val="00DA65F1"/>
    <w:rsid w:val="00DB0D81"/>
    <w:rsid w:val="00DC2C8E"/>
    <w:rsid w:val="00DC4FC2"/>
    <w:rsid w:val="00DD0323"/>
    <w:rsid w:val="00DD2731"/>
    <w:rsid w:val="00DD4D70"/>
    <w:rsid w:val="00DD6B6C"/>
    <w:rsid w:val="00DE112B"/>
    <w:rsid w:val="00DE4B6F"/>
    <w:rsid w:val="00DF1938"/>
    <w:rsid w:val="00DF3B39"/>
    <w:rsid w:val="00DF4B90"/>
    <w:rsid w:val="00DF5591"/>
    <w:rsid w:val="00DF662F"/>
    <w:rsid w:val="00DF68D0"/>
    <w:rsid w:val="00DF7E66"/>
    <w:rsid w:val="00E02505"/>
    <w:rsid w:val="00E032C6"/>
    <w:rsid w:val="00E10764"/>
    <w:rsid w:val="00E121F3"/>
    <w:rsid w:val="00E206DC"/>
    <w:rsid w:val="00E27373"/>
    <w:rsid w:val="00E31F54"/>
    <w:rsid w:val="00E334DE"/>
    <w:rsid w:val="00E33E46"/>
    <w:rsid w:val="00E3609C"/>
    <w:rsid w:val="00E3611D"/>
    <w:rsid w:val="00E36DF0"/>
    <w:rsid w:val="00E37ED6"/>
    <w:rsid w:val="00E40CD7"/>
    <w:rsid w:val="00E43AFA"/>
    <w:rsid w:val="00E45344"/>
    <w:rsid w:val="00E473CE"/>
    <w:rsid w:val="00E5161B"/>
    <w:rsid w:val="00E52BA2"/>
    <w:rsid w:val="00E570E5"/>
    <w:rsid w:val="00E5779F"/>
    <w:rsid w:val="00E62379"/>
    <w:rsid w:val="00E63A60"/>
    <w:rsid w:val="00E66B7D"/>
    <w:rsid w:val="00E727AE"/>
    <w:rsid w:val="00E75FF9"/>
    <w:rsid w:val="00E90DBE"/>
    <w:rsid w:val="00E920E1"/>
    <w:rsid w:val="00E920FF"/>
    <w:rsid w:val="00E97211"/>
    <w:rsid w:val="00E97600"/>
    <w:rsid w:val="00EA0528"/>
    <w:rsid w:val="00EA70C9"/>
    <w:rsid w:val="00EA734F"/>
    <w:rsid w:val="00EA74B7"/>
    <w:rsid w:val="00EB1401"/>
    <w:rsid w:val="00EB733D"/>
    <w:rsid w:val="00EB7D13"/>
    <w:rsid w:val="00EC0B7F"/>
    <w:rsid w:val="00EC12A2"/>
    <w:rsid w:val="00EC3927"/>
    <w:rsid w:val="00ED426E"/>
    <w:rsid w:val="00ED5F6D"/>
    <w:rsid w:val="00ED6FE6"/>
    <w:rsid w:val="00EE2F08"/>
    <w:rsid w:val="00EF225D"/>
    <w:rsid w:val="00F04548"/>
    <w:rsid w:val="00F05AA6"/>
    <w:rsid w:val="00F10F34"/>
    <w:rsid w:val="00F117B8"/>
    <w:rsid w:val="00F1361F"/>
    <w:rsid w:val="00F151B8"/>
    <w:rsid w:val="00F1649F"/>
    <w:rsid w:val="00F164D1"/>
    <w:rsid w:val="00F17FB1"/>
    <w:rsid w:val="00F210A0"/>
    <w:rsid w:val="00F26001"/>
    <w:rsid w:val="00F35739"/>
    <w:rsid w:val="00F36C75"/>
    <w:rsid w:val="00F44C14"/>
    <w:rsid w:val="00F4706C"/>
    <w:rsid w:val="00F502C2"/>
    <w:rsid w:val="00F55CCD"/>
    <w:rsid w:val="00F6021D"/>
    <w:rsid w:val="00F621F7"/>
    <w:rsid w:val="00F66FB7"/>
    <w:rsid w:val="00F67FCF"/>
    <w:rsid w:val="00F729E7"/>
    <w:rsid w:val="00F74EC3"/>
    <w:rsid w:val="00F81D7B"/>
    <w:rsid w:val="00F830E0"/>
    <w:rsid w:val="00F8422C"/>
    <w:rsid w:val="00F92DDA"/>
    <w:rsid w:val="00F952EC"/>
    <w:rsid w:val="00F95479"/>
    <w:rsid w:val="00F95D22"/>
    <w:rsid w:val="00FA0B20"/>
    <w:rsid w:val="00FA2DF2"/>
    <w:rsid w:val="00FA5537"/>
    <w:rsid w:val="00FA6FC9"/>
    <w:rsid w:val="00FB052D"/>
    <w:rsid w:val="00FB2306"/>
    <w:rsid w:val="00FB52AE"/>
    <w:rsid w:val="00FC3EE3"/>
    <w:rsid w:val="00FC71C1"/>
    <w:rsid w:val="00FD1484"/>
    <w:rsid w:val="00FD32BE"/>
    <w:rsid w:val="00FD4B5D"/>
    <w:rsid w:val="00FD6A33"/>
    <w:rsid w:val="00FE1355"/>
    <w:rsid w:val="00FE2944"/>
    <w:rsid w:val="00FE475A"/>
    <w:rsid w:val="00FF0050"/>
    <w:rsid w:val="00FF529B"/>
    <w:rsid w:val="080B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2B"/>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table" w:styleId="a5">
    <w:name w:val="Table Grid"/>
    <w:basedOn w:val="a1"/>
    <w:uiPriority w:val="59"/>
    <w:qFormat/>
    <w:rsid w:val="005D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2B"/>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table" w:styleId="a5">
    <w:name w:val="Table Grid"/>
    <w:basedOn w:val="a1"/>
    <w:uiPriority w:val="59"/>
    <w:qFormat/>
    <w:rsid w:val="005D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836</Words>
  <Characters>4766</Characters>
  <Application>Microsoft Office Word</Application>
  <DocSecurity>0</DocSecurity>
  <Lines>39</Lines>
  <Paragraphs>11</Paragraphs>
  <ScaleCrop>false</ScaleCrop>
  <Company>Lenovo</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区琳</dc:creator>
  <cp:lastModifiedBy>杨扬</cp:lastModifiedBy>
  <cp:revision>16</cp:revision>
  <dcterms:created xsi:type="dcterms:W3CDTF">2018-03-07T06:29:00Z</dcterms:created>
  <dcterms:modified xsi:type="dcterms:W3CDTF">2018-03-28T03:23:00Z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